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1D86" w14:textId="2A677F90" w:rsidR="00E80E91" w:rsidRPr="00D97A51" w:rsidRDefault="00000000" w:rsidP="00D97A51">
      <w:pPr>
        <w:rPr>
          <w:b/>
          <w:bCs/>
          <w:sz w:val="24"/>
          <w:szCs w:val="24"/>
        </w:rPr>
      </w:pPr>
      <w:r w:rsidRPr="00D97A51">
        <w:rPr>
          <w:b/>
          <w:bCs/>
          <w:sz w:val="24"/>
          <w:szCs w:val="24"/>
        </w:rPr>
        <w:t>Classifying Food Consumption Score (FCS) Categories in Stata</w:t>
      </w:r>
    </w:p>
    <w:p w14:paraId="1C39C933" w14:textId="77777777" w:rsidR="0023183D" w:rsidRDefault="0023183D" w:rsidP="003B494F">
      <w:r>
        <w:t xml:space="preserve">The Food Consumption Score (FCS) is a composite score developed by the World Food </w:t>
      </w:r>
      <w:proofErr w:type="spellStart"/>
      <w:r>
        <w:t>Programme</w:t>
      </w:r>
      <w:proofErr w:type="spellEnd"/>
      <w:r>
        <w:t xml:space="preserve"> (WFP) that reflects dietary diversity, food frequency, and the relative nutritional importance of different food groups. It is calculated based on the number of days specific food groups were consumed by a household over a 7-day recall period. Each food group is assigned a weight based on its nutritional value, and the weighted frequencies are summed to generate the total FCS. </w:t>
      </w:r>
    </w:p>
    <w:p w14:paraId="6FE87188" w14:textId="52C34407" w:rsidR="0023183D" w:rsidRDefault="0023183D" w:rsidP="0023183D">
      <w:r>
        <w:t>According to the WFP’s 'Indicators and Food Security and Nutrition Integration Guide' (Page 17), available at</w:t>
      </w:r>
      <w:r>
        <w:t xml:space="preserve"> </w:t>
      </w:r>
      <w:hyperlink r:id="rId6" w:history="1">
        <w:r w:rsidRPr="00807025">
          <w:rPr>
            <w:rStyle w:val="Hyperlink"/>
          </w:rPr>
          <w:t>https://www.dropbox.com/s/dopgy5moow6kf64/5.WFP_IndicatorsFSandNutIntegration.pdf?dl=0</w:t>
        </w:r>
      </w:hyperlink>
      <w:r>
        <w:t>,</w:t>
      </w:r>
      <w:r>
        <w:t xml:space="preserve"> </w:t>
      </w:r>
      <w:r>
        <w:t xml:space="preserve"> the FCS is categorized into three food consumption groups. These categories are used to classify households' food security status and inform programmatic decisions: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E80E91" w14:paraId="1A16D8DA" w14:textId="77777777" w:rsidTr="0023183D">
        <w:tc>
          <w:tcPr>
            <w:tcW w:w="4320" w:type="dxa"/>
          </w:tcPr>
          <w:p w14:paraId="65B743E3" w14:textId="77777777" w:rsidR="00E80E91" w:rsidRDefault="00000000">
            <w:r>
              <w:t>FCS Range</w:t>
            </w:r>
          </w:p>
        </w:tc>
        <w:tc>
          <w:tcPr>
            <w:tcW w:w="4320" w:type="dxa"/>
          </w:tcPr>
          <w:p w14:paraId="42B44DBB" w14:textId="77777777" w:rsidR="00E80E91" w:rsidRDefault="00000000">
            <w:r>
              <w:t>Category</w:t>
            </w:r>
          </w:p>
        </w:tc>
      </w:tr>
      <w:tr w:rsidR="00E80E91" w14:paraId="287877D2" w14:textId="77777777" w:rsidTr="0023183D">
        <w:tc>
          <w:tcPr>
            <w:tcW w:w="4320" w:type="dxa"/>
          </w:tcPr>
          <w:p w14:paraId="7989D578" w14:textId="77777777" w:rsidR="00E80E91" w:rsidRDefault="00000000">
            <w:r>
              <w:t>FCS ≤ 21</w:t>
            </w:r>
          </w:p>
        </w:tc>
        <w:tc>
          <w:tcPr>
            <w:tcW w:w="4320" w:type="dxa"/>
          </w:tcPr>
          <w:p w14:paraId="37CF583A" w14:textId="77777777" w:rsidR="00E80E91" w:rsidRDefault="00000000">
            <w:r>
              <w:t>Poor</w:t>
            </w:r>
          </w:p>
        </w:tc>
      </w:tr>
      <w:tr w:rsidR="00E80E91" w14:paraId="30BA7425" w14:textId="77777777" w:rsidTr="0023183D">
        <w:tc>
          <w:tcPr>
            <w:tcW w:w="4320" w:type="dxa"/>
          </w:tcPr>
          <w:p w14:paraId="30998975" w14:textId="77777777" w:rsidR="00E80E91" w:rsidRDefault="00000000">
            <w:r>
              <w:t>21 &lt; FCS ≤ 35</w:t>
            </w:r>
          </w:p>
        </w:tc>
        <w:tc>
          <w:tcPr>
            <w:tcW w:w="4320" w:type="dxa"/>
          </w:tcPr>
          <w:p w14:paraId="0D3B2300" w14:textId="77777777" w:rsidR="00E80E91" w:rsidRDefault="00000000">
            <w:r>
              <w:t>Borderline</w:t>
            </w:r>
          </w:p>
        </w:tc>
      </w:tr>
      <w:tr w:rsidR="00E80E91" w14:paraId="11030A4B" w14:textId="77777777" w:rsidTr="0023183D">
        <w:tc>
          <w:tcPr>
            <w:tcW w:w="4320" w:type="dxa"/>
          </w:tcPr>
          <w:p w14:paraId="7C066B4E" w14:textId="77777777" w:rsidR="00E80E91" w:rsidRDefault="00000000">
            <w:r>
              <w:t>FCS &gt; 35</w:t>
            </w:r>
          </w:p>
        </w:tc>
        <w:tc>
          <w:tcPr>
            <w:tcW w:w="4320" w:type="dxa"/>
          </w:tcPr>
          <w:p w14:paraId="1D4F9490" w14:textId="77777777" w:rsidR="00E80E91" w:rsidRDefault="00000000">
            <w:r>
              <w:t>Acceptable</w:t>
            </w:r>
          </w:p>
        </w:tc>
      </w:tr>
    </w:tbl>
    <w:p w14:paraId="3CAE98A4" w14:textId="1F31D0DA" w:rsidR="00E80E91" w:rsidRDefault="00000000">
      <w:r>
        <w:t>These thresholds assume occasional or irregular consumption of oil and sugar.</w:t>
      </w:r>
    </w:p>
    <w:p w14:paraId="55260C0B" w14:textId="2FA8DB76" w:rsidR="00BF7072" w:rsidRDefault="00BF7072"/>
    <w:p w14:paraId="30BD848A" w14:textId="77777777" w:rsidR="00D32864" w:rsidRPr="00D32864" w:rsidRDefault="00D32864" w:rsidP="00D32864">
      <w:pPr>
        <w:rPr>
          <w:b/>
          <w:bCs/>
          <w:sz w:val="24"/>
          <w:szCs w:val="24"/>
        </w:rPr>
      </w:pPr>
      <w:r w:rsidRPr="00D32864">
        <w:rPr>
          <w:b/>
          <w:bCs/>
          <w:sz w:val="24"/>
          <w:szCs w:val="24"/>
        </w:rPr>
        <w:t>Reduced Coping Strategies Index (</w:t>
      </w:r>
      <w:proofErr w:type="spellStart"/>
      <w:r w:rsidRPr="00D32864">
        <w:rPr>
          <w:b/>
          <w:bCs/>
          <w:sz w:val="24"/>
          <w:szCs w:val="24"/>
        </w:rPr>
        <w:t>rCSI</w:t>
      </w:r>
      <w:proofErr w:type="spellEnd"/>
      <w:r w:rsidRPr="00D32864">
        <w:rPr>
          <w:b/>
          <w:bCs/>
          <w:sz w:val="24"/>
          <w:szCs w:val="24"/>
        </w:rPr>
        <w:t>) Categorization</w:t>
      </w:r>
    </w:p>
    <w:p w14:paraId="71926EDB" w14:textId="77777777" w:rsidR="00D32864" w:rsidRDefault="00D32864" w:rsidP="00D32864">
      <w:r>
        <w:t>The Reduced Coping Strategies Index (</w:t>
      </w:r>
      <w:proofErr w:type="spellStart"/>
      <w:r>
        <w:t>rCSI</w:t>
      </w:r>
      <w:proofErr w:type="spellEnd"/>
      <w:r>
        <w:t>) measures the frequency and severity of five common food-related coping strategies over the past 7 days. Each strategy is assigned a severity weight based on guidance from the WFP Coping Strategies Index Manual (Second Edition, page 17).</w:t>
      </w:r>
    </w:p>
    <w:p w14:paraId="19B3C7C3" w14:textId="7E372CED" w:rsidR="00D32864" w:rsidRDefault="00D32864" w:rsidP="00D32864">
      <w:r>
        <w:t xml:space="preserve"> Standard Strategies and Severity Weights</w:t>
      </w:r>
    </w:p>
    <w:p w14:paraId="28AA6F70" w14:textId="4C6F4FF8" w:rsidR="0023183D" w:rsidRDefault="0023183D" w:rsidP="0023183D">
      <w:r>
        <w:t>* Ref1.:</w:t>
      </w:r>
      <w:r>
        <w:t xml:space="preserve"> </w:t>
      </w:r>
      <w:r>
        <w:t xml:space="preserve"> </w:t>
      </w:r>
      <w:hyperlink r:id="rId7" w:history="1">
        <w:r w:rsidRPr="00807025">
          <w:rPr>
            <w:rStyle w:val="Hyperlink"/>
          </w:rPr>
          <w:t>https://www.ennonline.net/attachments/906/coping-strategies-index-manual-second-edition-(final)[1].pdf</w:t>
        </w:r>
      </w:hyperlink>
    </w:p>
    <w:p w14:paraId="7DBF01D7" w14:textId="77777777" w:rsidR="0023183D" w:rsidRDefault="0023183D" w:rsidP="0023183D"/>
    <w:p w14:paraId="25C38C4A" w14:textId="572DA6AE" w:rsidR="0023183D" w:rsidRDefault="0023183D" w:rsidP="0023183D">
      <w:r>
        <w:t>*Ref2.:</w:t>
      </w:r>
      <w:hyperlink r:id="rId8" w:history="1">
        <w:r w:rsidRPr="00807025">
          <w:rPr>
            <w:rStyle w:val="Hyperlink"/>
          </w:rPr>
          <w:t>http://www.securenutrition.org/sites/default/files/resources/attachment/english/maxwell-d_2013_how-do-different-indicators-of-hfs-compare.pdf</w:t>
        </w:r>
      </w:hyperlink>
    </w:p>
    <w:p w14:paraId="3B658045" w14:textId="77777777" w:rsidR="0023183D" w:rsidRDefault="0023183D" w:rsidP="0023183D"/>
    <w:p w14:paraId="08F91259" w14:textId="407DD4B6" w:rsidR="0023183D" w:rsidRDefault="0023183D" w:rsidP="0023183D">
      <w:r w:rsidRPr="0023183D">
        <w:t>*Ref</w:t>
      </w:r>
      <w:r>
        <w:t xml:space="preserve">3 </w:t>
      </w:r>
      <w:r w:rsidRPr="0023183D">
        <w:t>http://www.fao.org/fileadmin/user_upload/food-security-capacity-building/docs/Nutrition/NairobiWorkshop/5.WFP_IndicatorsFSandNutIntegration.pdf</w:t>
      </w:r>
    </w:p>
    <w:p w14:paraId="4D3A10EF" w14:textId="77777777" w:rsidR="0023183D" w:rsidRDefault="0023183D" w:rsidP="00231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D32864" w14:paraId="1FFC232A" w14:textId="77777777" w:rsidTr="003B494F">
        <w:tc>
          <w:tcPr>
            <w:tcW w:w="4320" w:type="dxa"/>
          </w:tcPr>
          <w:p w14:paraId="79C617EA" w14:textId="77777777" w:rsidR="00D32864" w:rsidRDefault="00D32864" w:rsidP="003B494F">
            <w:r>
              <w:t>Strategy</w:t>
            </w:r>
          </w:p>
        </w:tc>
        <w:tc>
          <w:tcPr>
            <w:tcW w:w="4320" w:type="dxa"/>
          </w:tcPr>
          <w:p w14:paraId="3F905AE7" w14:textId="77777777" w:rsidR="00D32864" w:rsidRDefault="00D32864" w:rsidP="003B494F">
            <w:r>
              <w:t>Severity Weight</w:t>
            </w:r>
          </w:p>
        </w:tc>
      </w:tr>
      <w:tr w:rsidR="00D32864" w14:paraId="57640A8B" w14:textId="77777777" w:rsidTr="003B494F">
        <w:tc>
          <w:tcPr>
            <w:tcW w:w="4320" w:type="dxa"/>
          </w:tcPr>
          <w:p w14:paraId="26DDD488" w14:textId="77777777" w:rsidR="00D32864" w:rsidRDefault="00D32864" w:rsidP="003B494F">
            <w:r>
              <w:t>1. Rely on less-preferred, less-expensive foods</w:t>
            </w:r>
          </w:p>
        </w:tc>
        <w:tc>
          <w:tcPr>
            <w:tcW w:w="4320" w:type="dxa"/>
          </w:tcPr>
          <w:p w14:paraId="272F29D1" w14:textId="77777777" w:rsidR="00D32864" w:rsidRDefault="00D32864" w:rsidP="003B494F">
            <w:r>
              <w:t>1</w:t>
            </w:r>
          </w:p>
        </w:tc>
      </w:tr>
      <w:tr w:rsidR="00D32864" w14:paraId="2808AE9A" w14:textId="77777777" w:rsidTr="003B494F">
        <w:tc>
          <w:tcPr>
            <w:tcW w:w="4320" w:type="dxa"/>
          </w:tcPr>
          <w:p w14:paraId="33F56B9C" w14:textId="77777777" w:rsidR="00D32864" w:rsidRDefault="00D32864" w:rsidP="003B494F">
            <w:r>
              <w:t>2. Borrow food or help from friends/relatives</w:t>
            </w:r>
          </w:p>
        </w:tc>
        <w:tc>
          <w:tcPr>
            <w:tcW w:w="4320" w:type="dxa"/>
          </w:tcPr>
          <w:p w14:paraId="692E15D6" w14:textId="77777777" w:rsidR="00D32864" w:rsidRDefault="00D32864" w:rsidP="003B494F">
            <w:r>
              <w:t>2</w:t>
            </w:r>
          </w:p>
        </w:tc>
      </w:tr>
      <w:tr w:rsidR="00D32864" w14:paraId="00519EA5" w14:textId="77777777" w:rsidTr="003B494F">
        <w:tc>
          <w:tcPr>
            <w:tcW w:w="4320" w:type="dxa"/>
          </w:tcPr>
          <w:p w14:paraId="701F0716" w14:textId="77777777" w:rsidR="00D32864" w:rsidRDefault="00D32864" w:rsidP="003B494F">
            <w:r>
              <w:t>3. Limit portion size at mealtimes</w:t>
            </w:r>
          </w:p>
        </w:tc>
        <w:tc>
          <w:tcPr>
            <w:tcW w:w="4320" w:type="dxa"/>
          </w:tcPr>
          <w:p w14:paraId="715FB938" w14:textId="77777777" w:rsidR="00D32864" w:rsidRDefault="00D32864" w:rsidP="003B494F">
            <w:r>
              <w:t>1</w:t>
            </w:r>
          </w:p>
        </w:tc>
      </w:tr>
      <w:tr w:rsidR="00D32864" w14:paraId="04AA6167" w14:textId="77777777" w:rsidTr="003B494F">
        <w:tc>
          <w:tcPr>
            <w:tcW w:w="4320" w:type="dxa"/>
          </w:tcPr>
          <w:p w14:paraId="563FD8D0" w14:textId="77777777" w:rsidR="00D32864" w:rsidRDefault="00D32864" w:rsidP="003B494F">
            <w:r>
              <w:t>4. Restrict adult consumption so children can eat</w:t>
            </w:r>
          </w:p>
        </w:tc>
        <w:tc>
          <w:tcPr>
            <w:tcW w:w="4320" w:type="dxa"/>
          </w:tcPr>
          <w:p w14:paraId="6A6D783B" w14:textId="77777777" w:rsidR="00D32864" w:rsidRDefault="00D32864" w:rsidP="003B494F">
            <w:r>
              <w:t>3</w:t>
            </w:r>
          </w:p>
        </w:tc>
      </w:tr>
      <w:tr w:rsidR="00D32864" w14:paraId="496E3B42" w14:textId="77777777" w:rsidTr="003B494F">
        <w:tc>
          <w:tcPr>
            <w:tcW w:w="4320" w:type="dxa"/>
          </w:tcPr>
          <w:p w14:paraId="17676A76" w14:textId="77777777" w:rsidR="00D32864" w:rsidRDefault="00D32864" w:rsidP="003B494F">
            <w:r>
              <w:t>5. Reduce number of meals</w:t>
            </w:r>
          </w:p>
        </w:tc>
        <w:tc>
          <w:tcPr>
            <w:tcW w:w="4320" w:type="dxa"/>
          </w:tcPr>
          <w:p w14:paraId="756BF3A0" w14:textId="77777777" w:rsidR="00D32864" w:rsidRDefault="00D32864" w:rsidP="003B494F">
            <w:r>
              <w:t>1</w:t>
            </w:r>
          </w:p>
        </w:tc>
      </w:tr>
    </w:tbl>
    <w:p w14:paraId="5B76DB40" w14:textId="77777777" w:rsidR="00D32864" w:rsidRDefault="00D32864" w:rsidP="00D32864"/>
    <w:p w14:paraId="61F67749" w14:textId="439C3DA5" w:rsidR="00D32864" w:rsidRDefault="00D32864" w:rsidP="00D32864">
      <w:r>
        <w:t xml:space="preserve">After summing the weighted frequencies, the total </w:t>
      </w:r>
      <w:proofErr w:type="spellStart"/>
      <w:r>
        <w:t>rCSI</w:t>
      </w:r>
      <w:proofErr w:type="spellEnd"/>
      <w:r>
        <w:t xml:space="preserve"> score </w:t>
      </w:r>
      <w:r>
        <w:t>were</w:t>
      </w:r>
      <w:r>
        <w:t xml:space="preserve"> categorized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32864" w:rsidRPr="00D32864" w14:paraId="164664CB" w14:textId="77777777" w:rsidTr="00FA2865">
        <w:tc>
          <w:tcPr>
            <w:tcW w:w="4315" w:type="dxa"/>
          </w:tcPr>
          <w:p w14:paraId="01653C4A" w14:textId="77777777" w:rsidR="00D32864" w:rsidRPr="00D32864" w:rsidRDefault="00D32864" w:rsidP="00D32864">
            <w:pPr>
              <w:spacing w:after="200" w:line="276" w:lineRule="auto"/>
            </w:pPr>
            <w:proofErr w:type="spellStart"/>
            <w:r w:rsidRPr="00D32864">
              <w:t>rCSI</w:t>
            </w:r>
            <w:proofErr w:type="spellEnd"/>
            <w:r w:rsidRPr="00D32864">
              <w:t xml:space="preserve"> Score</w:t>
            </w:r>
          </w:p>
        </w:tc>
        <w:tc>
          <w:tcPr>
            <w:tcW w:w="4315" w:type="dxa"/>
          </w:tcPr>
          <w:p w14:paraId="23C6A220" w14:textId="77777777" w:rsidR="00D32864" w:rsidRPr="00D32864" w:rsidRDefault="00D32864" w:rsidP="00D32864">
            <w:pPr>
              <w:spacing w:after="200" w:line="276" w:lineRule="auto"/>
            </w:pPr>
            <w:r w:rsidRPr="00D32864">
              <w:t>Category</w:t>
            </w:r>
          </w:p>
        </w:tc>
      </w:tr>
      <w:tr w:rsidR="00D32864" w:rsidRPr="00D32864" w14:paraId="0550A6F6" w14:textId="77777777" w:rsidTr="00FA2865">
        <w:tc>
          <w:tcPr>
            <w:tcW w:w="4315" w:type="dxa"/>
          </w:tcPr>
          <w:p w14:paraId="25958372" w14:textId="77777777" w:rsidR="00D32864" w:rsidRPr="00D32864" w:rsidRDefault="00D32864" w:rsidP="00D32864">
            <w:pPr>
              <w:spacing w:after="200" w:line="276" w:lineRule="auto"/>
            </w:pPr>
            <w:r w:rsidRPr="00D32864">
              <w:t>0–3</w:t>
            </w:r>
          </w:p>
        </w:tc>
        <w:tc>
          <w:tcPr>
            <w:tcW w:w="4315" w:type="dxa"/>
          </w:tcPr>
          <w:p w14:paraId="73E07761" w14:textId="77777777" w:rsidR="00D32864" w:rsidRPr="00D32864" w:rsidRDefault="00D32864" w:rsidP="00D32864">
            <w:pPr>
              <w:spacing w:after="200" w:line="276" w:lineRule="auto"/>
            </w:pPr>
            <w:r w:rsidRPr="00D32864">
              <w:t>Low coping</w:t>
            </w:r>
          </w:p>
        </w:tc>
      </w:tr>
      <w:tr w:rsidR="00D32864" w:rsidRPr="00D32864" w14:paraId="24B246F8" w14:textId="77777777" w:rsidTr="00FA2865">
        <w:tc>
          <w:tcPr>
            <w:tcW w:w="4315" w:type="dxa"/>
          </w:tcPr>
          <w:p w14:paraId="0221D7A7" w14:textId="77777777" w:rsidR="00D32864" w:rsidRPr="00D32864" w:rsidRDefault="00D32864" w:rsidP="00D32864">
            <w:pPr>
              <w:spacing w:after="200" w:line="276" w:lineRule="auto"/>
            </w:pPr>
            <w:r w:rsidRPr="00D32864">
              <w:t>4–18</w:t>
            </w:r>
          </w:p>
        </w:tc>
        <w:tc>
          <w:tcPr>
            <w:tcW w:w="4315" w:type="dxa"/>
          </w:tcPr>
          <w:p w14:paraId="675AE28E" w14:textId="77777777" w:rsidR="00D32864" w:rsidRPr="00D32864" w:rsidRDefault="00D32864" w:rsidP="00D32864">
            <w:pPr>
              <w:spacing w:after="200" w:line="276" w:lineRule="auto"/>
            </w:pPr>
            <w:r w:rsidRPr="00D32864">
              <w:t>Medium coping</w:t>
            </w:r>
          </w:p>
        </w:tc>
      </w:tr>
      <w:tr w:rsidR="00D32864" w:rsidRPr="00D32864" w14:paraId="1D45C864" w14:textId="77777777" w:rsidTr="00FA2865">
        <w:tc>
          <w:tcPr>
            <w:tcW w:w="4315" w:type="dxa"/>
          </w:tcPr>
          <w:p w14:paraId="6659595B" w14:textId="77777777" w:rsidR="00D32864" w:rsidRPr="00D32864" w:rsidRDefault="00D32864" w:rsidP="00D32864">
            <w:pPr>
              <w:spacing w:after="200" w:line="276" w:lineRule="auto"/>
            </w:pPr>
            <w:r w:rsidRPr="00D32864">
              <w:t>&gt;18</w:t>
            </w:r>
          </w:p>
        </w:tc>
        <w:tc>
          <w:tcPr>
            <w:tcW w:w="4315" w:type="dxa"/>
          </w:tcPr>
          <w:p w14:paraId="0CC5D9EB" w14:textId="77777777" w:rsidR="00D32864" w:rsidRPr="00D32864" w:rsidRDefault="00D32864" w:rsidP="00D32864">
            <w:pPr>
              <w:spacing w:after="200" w:line="276" w:lineRule="auto"/>
            </w:pPr>
            <w:r w:rsidRPr="00D32864">
              <w:t>High coping</w:t>
            </w:r>
          </w:p>
        </w:tc>
      </w:tr>
    </w:tbl>
    <w:p w14:paraId="60858B20" w14:textId="77777777" w:rsidR="0023183D" w:rsidRDefault="0023183D" w:rsidP="00FA2865">
      <w:pPr>
        <w:rPr>
          <w:b/>
          <w:bCs/>
          <w:sz w:val="24"/>
          <w:szCs w:val="24"/>
        </w:rPr>
      </w:pPr>
    </w:p>
    <w:p w14:paraId="52ACA430" w14:textId="28159F1B" w:rsidR="00FA2865" w:rsidRPr="00FA2865" w:rsidRDefault="00FA2865" w:rsidP="00FA2865">
      <w:pPr>
        <w:rPr>
          <w:b/>
          <w:bCs/>
          <w:sz w:val="24"/>
          <w:szCs w:val="24"/>
        </w:rPr>
      </w:pPr>
      <w:r w:rsidRPr="00FA2865">
        <w:rPr>
          <w:b/>
          <w:bCs/>
          <w:sz w:val="24"/>
          <w:szCs w:val="24"/>
        </w:rPr>
        <w:t>Household Dietary Diversity Score (HDDS) Categorization</w:t>
      </w:r>
    </w:p>
    <w:p w14:paraId="4423A4AC" w14:textId="77777777" w:rsidR="00FA2865" w:rsidRDefault="00FA2865" w:rsidP="00FA2865">
      <w:r>
        <w:t>The Household Dietary Diversity Score (HDDS) is a measure of the number of different food groups consumed by a household over the past 24 hours. It is used as a proxy indicator for the economic ability of a household to access a variety of foods. The HDDS is calculated by summing the number of distinct food groups consumed from a predefined list (typically 12 groups). Each food group consumed receives a score of 1, regardless of quantity or frequency, and the total score ranges from 0 to 12.</w:t>
      </w:r>
    </w:p>
    <w:p w14:paraId="7BF8130F" w14:textId="63E6A7EE" w:rsidR="00BF7072" w:rsidRDefault="00FA2865" w:rsidP="00FA2865">
      <w:r>
        <w:t xml:space="preserve">Based on thresholds suggested by </w:t>
      </w:r>
      <w:proofErr w:type="spellStart"/>
      <w:r>
        <w:t>Vaitla</w:t>
      </w:r>
      <w:proofErr w:type="spellEnd"/>
      <w:r>
        <w:t xml:space="preserve"> et al. (2015) in “Comparing Household Food Consumption Indicators to Inform Acute Food Insecurity Phase Classification” (page 25), HDDS scores are grouped into three categories to classify the food security status of a</w:t>
      </w:r>
      <w:r>
        <w:t xml:space="preserve"> household:</w:t>
      </w:r>
    </w:p>
    <w:p w14:paraId="22C5372B" w14:textId="224355B6" w:rsidR="00FA2865" w:rsidRDefault="00FA2865" w:rsidP="00FA2865">
      <w:pPr>
        <w:rPr>
          <w:b/>
          <w:bCs/>
        </w:rPr>
      </w:pPr>
      <w:r w:rsidRPr="00FA2865">
        <w:rPr>
          <w:b/>
          <w:bCs/>
        </w:rPr>
        <w:t>HDDS Score Categorization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A2865" w14:paraId="7B4F1B5F" w14:textId="77777777" w:rsidTr="003B494F">
        <w:tc>
          <w:tcPr>
            <w:tcW w:w="4320" w:type="dxa"/>
          </w:tcPr>
          <w:p w14:paraId="38BCA979" w14:textId="77777777" w:rsidR="00FA2865" w:rsidRDefault="00FA2865" w:rsidP="003B494F">
            <w:r>
              <w:t>HDDS Score</w:t>
            </w:r>
          </w:p>
        </w:tc>
        <w:tc>
          <w:tcPr>
            <w:tcW w:w="4320" w:type="dxa"/>
          </w:tcPr>
          <w:p w14:paraId="38BE65AB" w14:textId="77777777" w:rsidR="00FA2865" w:rsidRDefault="00FA2865" w:rsidP="003B494F">
            <w:r>
              <w:t>Category</w:t>
            </w:r>
          </w:p>
        </w:tc>
      </w:tr>
      <w:tr w:rsidR="00FA2865" w14:paraId="5B0FD7F8" w14:textId="77777777" w:rsidTr="003B494F">
        <w:tc>
          <w:tcPr>
            <w:tcW w:w="4320" w:type="dxa"/>
          </w:tcPr>
          <w:p w14:paraId="24DA0BF1" w14:textId="77777777" w:rsidR="00FA2865" w:rsidRDefault="00FA2865" w:rsidP="003B494F">
            <w:r>
              <w:t>0–3</w:t>
            </w:r>
          </w:p>
        </w:tc>
        <w:tc>
          <w:tcPr>
            <w:tcW w:w="4320" w:type="dxa"/>
          </w:tcPr>
          <w:p w14:paraId="5C08DCEA" w14:textId="77777777" w:rsidR="00FA2865" w:rsidRDefault="00FA2865" w:rsidP="003B494F">
            <w:r>
              <w:t>Severely food insecure</w:t>
            </w:r>
          </w:p>
        </w:tc>
      </w:tr>
      <w:tr w:rsidR="00FA2865" w14:paraId="6FA9A8E1" w14:textId="77777777" w:rsidTr="003B494F">
        <w:tc>
          <w:tcPr>
            <w:tcW w:w="4320" w:type="dxa"/>
          </w:tcPr>
          <w:p w14:paraId="09DD3291" w14:textId="77777777" w:rsidR="00FA2865" w:rsidRDefault="00FA2865" w:rsidP="003B494F">
            <w:r>
              <w:t>4–5</w:t>
            </w:r>
          </w:p>
        </w:tc>
        <w:tc>
          <w:tcPr>
            <w:tcW w:w="4320" w:type="dxa"/>
          </w:tcPr>
          <w:p w14:paraId="05E9A69E" w14:textId="77777777" w:rsidR="00FA2865" w:rsidRDefault="00FA2865" w:rsidP="003B494F">
            <w:r>
              <w:t>Moderately food insecure</w:t>
            </w:r>
          </w:p>
        </w:tc>
      </w:tr>
      <w:tr w:rsidR="00FA2865" w14:paraId="2FE9557F" w14:textId="77777777" w:rsidTr="003B494F">
        <w:tc>
          <w:tcPr>
            <w:tcW w:w="4320" w:type="dxa"/>
          </w:tcPr>
          <w:p w14:paraId="5AC0A364" w14:textId="77777777" w:rsidR="00FA2865" w:rsidRDefault="00FA2865" w:rsidP="003B494F">
            <w:r>
              <w:t>6–12</w:t>
            </w:r>
          </w:p>
        </w:tc>
        <w:tc>
          <w:tcPr>
            <w:tcW w:w="4320" w:type="dxa"/>
          </w:tcPr>
          <w:p w14:paraId="2B4923A6" w14:textId="77777777" w:rsidR="00FA2865" w:rsidRDefault="00FA2865" w:rsidP="003B494F">
            <w:r>
              <w:t>Food secure / Mildly food insecure</w:t>
            </w:r>
          </w:p>
        </w:tc>
      </w:tr>
    </w:tbl>
    <w:p w14:paraId="673941F7" w14:textId="5BAC37BF" w:rsidR="006C266D" w:rsidRPr="006C266D" w:rsidRDefault="006C266D" w:rsidP="00FA2865">
      <w:r w:rsidRPr="006C266D">
        <w:t xml:space="preserve"> Source:</w:t>
      </w:r>
      <w:r>
        <w:t xml:space="preserve">   </w:t>
      </w:r>
      <w:r w:rsidRPr="006C266D">
        <w:t>https://www.dropbox.com/s/dopgy5moow6kf64/5.WFP_IndicatorsFSandNutIntegration.pdf?dl=0</w:t>
      </w:r>
    </w:p>
    <w:sectPr w:rsidR="006C266D" w:rsidRPr="006C26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7055030">
    <w:abstractNumId w:val="8"/>
  </w:num>
  <w:num w:numId="2" w16cid:durableId="2044671842">
    <w:abstractNumId w:val="6"/>
  </w:num>
  <w:num w:numId="3" w16cid:durableId="2106073572">
    <w:abstractNumId w:val="5"/>
  </w:num>
  <w:num w:numId="4" w16cid:durableId="1778023311">
    <w:abstractNumId w:val="4"/>
  </w:num>
  <w:num w:numId="5" w16cid:durableId="1159618769">
    <w:abstractNumId w:val="7"/>
  </w:num>
  <w:num w:numId="6" w16cid:durableId="1393504170">
    <w:abstractNumId w:val="3"/>
  </w:num>
  <w:num w:numId="7" w16cid:durableId="1935091430">
    <w:abstractNumId w:val="2"/>
  </w:num>
  <w:num w:numId="8" w16cid:durableId="1515145453">
    <w:abstractNumId w:val="1"/>
  </w:num>
  <w:num w:numId="9" w16cid:durableId="11707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183D"/>
    <w:rsid w:val="0029639D"/>
    <w:rsid w:val="00326F90"/>
    <w:rsid w:val="006C266D"/>
    <w:rsid w:val="00AA1D8D"/>
    <w:rsid w:val="00B47730"/>
    <w:rsid w:val="00BF7072"/>
    <w:rsid w:val="00CB0664"/>
    <w:rsid w:val="00D32864"/>
    <w:rsid w:val="00D97A51"/>
    <w:rsid w:val="00E80E91"/>
    <w:rsid w:val="00FA28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B825C1"/>
  <w14:defaultImageDpi w14:val="300"/>
  <w15:docId w15:val="{8E631A2E-E763-46C4-A626-6C49FC89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97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urenutrition.org/sites/default/files/resources/attachment/english/maxwell-d_2013_how-do-different-indicators-of-hfs-compar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nnonline.net/attachments/906/coping-strategies-index-manual-second-edition-(final)%5b1%5d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/dopgy5moow6kf64/5.WFP_IndicatorsFSandNutIntegration.pdf?dl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Hadunka, Protensia</cp:lastModifiedBy>
  <cp:revision>6</cp:revision>
  <dcterms:created xsi:type="dcterms:W3CDTF">2025-06-14T21:07:00Z</dcterms:created>
  <dcterms:modified xsi:type="dcterms:W3CDTF">2025-06-14T21:34:00Z</dcterms:modified>
  <cp:category/>
</cp:coreProperties>
</file>