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QQQ, TOF and ion trap instruments from AB SCIEX, Agilent, Bruker,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peptide. The mProphet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8"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2C389A15" w:rsidR="007558F2" w:rsidRDefault="007558F2" w:rsidP="007558F2">
      <w:r>
        <w:t>Although Skyline continues to score peaks heuristically on initial import</w:t>
      </w:r>
      <w:r w:rsidR="00DA0C4C">
        <w:t xml:space="preserve">, </w:t>
      </w:r>
      <w:r>
        <w:t>we now allow the user to improve on what Skyline does by default by training and customizing scoring models based on mProphet and OpenSWATH.</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8D4572" w:rsidP="00A54E6C">
      <w:hyperlink r:id="rId9"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mProphet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mProphet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7BAA1C9A" w:rsidR="006F388F" w:rsidRPr="00F03E98" w:rsidRDefault="008F1813" w:rsidP="0065676F">
      <w:pPr>
        <w:spacing w:before="240"/>
        <w:ind w:left="360" w:firstLine="360"/>
        <w:rPr>
          <w:u w:val="single"/>
        </w:rPr>
      </w:pPr>
      <w:r w:rsidRPr="008F1813">
        <w:rPr>
          <w:noProof/>
        </w:rPr>
        <w:t xml:space="preserve"> </w:t>
      </w:r>
      <w:r w:rsidR="00890D76">
        <w:rPr>
          <w:noProof/>
        </w:rPr>
        <w:drawing>
          <wp:inline distT="0" distB="0" distL="0" distR="0" wp14:anchorId="4818355C" wp14:editId="63C3D62C">
            <wp:extent cx="2638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t xml:space="preserve">Select the file </w:t>
      </w:r>
      <w:r>
        <w:rPr>
          <w:b/>
        </w:rPr>
        <w:t>‘</w:t>
      </w:r>
      <w:r w:rsidR="0002750B" w:rsidRPr="008360EF">
        <w:t>SRMCourse_DosR-hDP__20130501-tutorial-empty</w:t>
      </w:r>
      <w:r w:rsidR="0002750B">
        <w:t>-decoys.sky</w:t>
      </w:r>
      <w:r>
        <w:t>’ from the ‘PeakPicking’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t>Select the file</w:t>
      </w:r>
      <w:r w:rsidR="0002750B">
        <w:t>s</w:t>
      </w:r>
      <w:r w:rsidR="003D5289">
        <w:t xml:space="preserve"> below, using Shift+</w:t>
      </w:r>
      <w:r w:rsidR="004C0FF7">
        <w:t>mouse-</w:t>
      </w:r>
      <w:r w:rsidR="003D5289">
        <w:t>click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9167519" w:rsidR="001F44CE" w:rsidRPr="001A1087" w:rsidRDefault="008F1813" w:rsidP="001A1087">
      <w:r w:rsidRPr="008F1813">
        <w:rPr>
          <w:noProof/>
        </w:rPr>
        <w:t xml:space="preserve"> </w:t>
      </w:r>
      <w:r>
        <w:rPr>
          <w:noProof/>
        </w:rPr>
        <w:drawing>
          <wp:inline distT="0" distB="0" distL="0" distR="0" wp14:anchorId="43A37862" wp14:editId="19A61BEB">
            <wp:extent cx="5943600" cy="4374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0480F337"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8F1813">
        <w:rPr>
          <w:noProof/>
        </w:rPr>
        <w:drawing>
          <wp:inline distT="0" distB="0" distL="0" distR="0" wp14:anchorId="02E4EE3B" wp14:editId="32243A12">
            <wp:extent cx="5943600" cy="3489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89960"/>
                    </a:xfrm>
                    <a:prstGeom prst="rect">
                      <a:avLst/>
                    </a:prstGeom>
                  </pic:spPr>
                </pic:pic>
              </a:graphicData>
            </a:graphic>
          </wp:inline>
        </w:drawing>
      </w:r>
    </w:p>
    <w:p w14:paraId="25E26F40" w14:textId="602601F8" w:rsidR="001F5CD6" w:rsidRDefault="00721E63" w:rsidP="00721E63">
      <w:r>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mProphet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r w:rsidR="00E06C34">
        <w:t>mProphet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3A90661D" w:rsidR="00916C38" w:rsidRDefault="004857B7" w:rsidP="009D652A">
      <w:r w:rsidRPr="004857B7">
        <w:t xml:space="preserve"> </w:t>
      </w:r>
      <w:r>
        <w:rPr>
          <w:noProof/>
        </w:rPr>
        <w:drawing>
          <wp:inline distT="0" distB="0" distL="0" distR="0" wp14:anchorId="0C7F3DE2" wp14:editId="43901D1D">
            <wp:extent cx="4676775" cy="421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a spike near zero 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1D4F4A68" w:rsidR="00916C38" w:rsidRDefault="004857B7" w:rsidP="00721E63">
      <w:r w:rsidRPr="004857B7">
        <w:t xml:space="preserve"> </w:t>
      </w:r>
      <w:r>
        <w:rPr>
          <w:noProof/>
        </w:rPr>
        <w:drawing>
          <wp:inline distT="0" distB="0" distL="0" distR="0" wp14:anchorId="25AC1F48" wp14:editId="2CAD1ED0">
            <wp:extent cx="4676775" cy="4210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The meaning of the scores is as follows (more details can be found in the original mProphet and OpenSWATH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186"/>
        <w:gridCol w:w="6164"/>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hape similarity between transitions (see mProphet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co-elution between transitions (see mProphet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Dot product between analyte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Weighted shape correlation between reference and analyte (see mProphet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Weighted co-elution (autocorrelation shift) between reference and analyte (see mProphet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490DBF09" w:rsidR="00721E63" w:rsidRDefault="004857B7" w:rsidP="0065676F">
      <w:pPr>
        <w:spacing w:before="240"/>
      </w:pPr>
      <w:r>
        <w:rPr>
          <w:noProof/>
        </w:rPr>
        <w:drawing>
          <wp:inline distT="0" distB="0" distL="0" distR="0" wp14:anchorId="76D2D827" wp14:editId="7203ABEE">
            <wp:extent cx="5943600" cy="37198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9830"/>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xml:space="preserve">.  This first peptide appears under the ‘iRTpeptides’ list.  While it is one of the 11 peptides in the iRT mix used in this experiment, it was obviously not included in the iRT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iRT standard peptide.  Skyline automatically excludes standard peptides from scoring consideration.  Although, in this document, all of the other iRT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‘PosCtrl’ with two other peptides which lack matching library spectra.  These are also standard peptides, added to the document before Skyline supported document-wide peptide standards.  Skyline will ignore any peptide standard (iRT,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the </w:t>
      </w:r>
      <w:r w:rsidR="003753C9">
        <w:t xml:space="preserve"> </w:t>
      </w:r>
      <w:r>
        <w:rPr>
          <w:b/>
        </w:rPr>
        <w:t xml:space="preserve">Peak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iRT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37A58F64" w:rsidR="00A24651" w:rsidRDefault="00E0764D" w:rsidP="002F6968">
      <w:pPr>
        <w:spacing w:after="0" w:line="240" w:lineRule="auto"/>
      </w:pPr>
      <w:r w:rsidRPr="00E0764D">
        <w:rPr>
          <w:noProof/>
        </w:rPr>
        <w:t xml:space="preserve"> </w:t>
      </w:r>
      <w:r w:rsidR="00D61C9D" w:rsidRPr="00D61C9D">
        <w:rPr>
          <w:noProof/>
        </w:rPr>
        <w:t xml:space="preserve"> </w:t>
      </w:r>
      <w:r w:rsidR="00D61C9D">
        <w:rPr>
          <w:noProof/>
        </w:rPr>
        <w:drawing>
          <wp:inline distT="0" distB="0" distL="0" distR="0" wp14:anchorId="2508736C" wp14:editId="0BF43C69">
            <wp:extent cx="5943600" cy="37846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84600"/>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t>You should see a graph like the following:</w:t>
      </w:r>
    </w:p>
    <w:p w14:paraId="3E5D8061" w14:textId="33864537" w:rsidR="00B679B9" w:rsidRDefault="00D61C9D" w:rsidP="00B679B9">
      <w:pPr>
        <w:spacing w:after="0" w:line="240" w:lineRule="auto"/>
        <w:rPr>
          <w:b/>
        </w:rPr>
      </w:pPr>
      <w:r w:rsidRPr="00D61C9D">
        <w:rPr>
          <w:b/>
        </w:rPr>
        <w:t xml:space="preserve"> </w:t>
      </w:r>
      <w:r w:rsidRPr="007712E1">
        <w:rPr>
          <w:b/>
          <w:noProof/>
        </w:rPr>
        <w:drawing>
          <wp:inline distT="0" distB="0" distL="0" distR="0" wp14:anchorId="722499D2" wp14:editId="49B48A16">
            <wp:extent cx="4067175" cy="410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7175" cy="4105275"/>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6B521C45" w:rsidR="00BA49E9" w:rsidRDefault="00D61C9D" w:rsidP="00BA49E9">
      <w:r w:rsidRPr="00D61C9D">
        <w:rPr>
          <w:noProof/>
        </w:rPr>
        <w:t xml:space="preserve"> </w:t>
      </w:r>
      <w:r>
        <w:rPr>
          <w:noProof/>
        </w:rPr>
        <w:drawing>
          <wp:inline distT="0" distB="0" distL="0" distR="0" wp14:anchorId="18C0EBC4" wp14:editId="201CF56A">
            <wp:extent cx="5943600" cy="3673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7347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r>
        <w:rPr>
          <w:color w:val="000000"/>
        </w:rPr>
        <w:t>LPDGNGIEL</w:t>
      </w:r>
      <w:r>
        <w:rPr>
          <w:b/>
          <w:bCs/>
          <w:color w:val="000000"/>
          <w:u w:val="single"/>
        </w:rPr>
        <w:t>C</w:t>
      </w:r>
      <w:r>
        <w:rPr>
          <w:b/>
          <w:bCs/>
          <w:color w:val="0000FF"/>
        </w:rPr>
        <w:t>R</w:t>
      </w:r>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2DDFCB7A" w:rsidR="00BA49E9" w:rsidRDefault="00D213BE" w:rsidP="00BA49E9">
      <w:r w:rsidRPr="00D213BE">
        <w:t xml:space="preserve"> </w:t>
      </w:r>
      <w:r w:rsidR="00D61C9D" w:rsidRPr="00D61C9D">
        <w:t xml:space="preserve"> </w:t>
      </w:r>
      <w:r w:rsidR="00D61C9D">
        <w:rPr>
          <w:noProof/>
        </w:rPr>
        <w:drawing>
          <wp:inline distT="0" distB="0" distL="0" distR="0" wp14:anchorId="2F746F34" wp14:editId="3A392D36">
            <wp:extent cx="356235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r>
        <w:rPr>
          <w:b/>
        </w:rPr>
        <w:t>Only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analyte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(mProphet)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mProphet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r>
        <w:rPr>
          <w:b/>
        </w:rPr>
        <w:t>mProphet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mProphet Features </w:t>
      </w:r>
      <w:r>
        <w:t>form should look like this:</w:t>
      </w:r>
    </w:p>
    <w:p w14:paraId="2585F5A1" w14:textId="62D73FA0" w:rsidR="000D4ACB" w:rsidRDefault="001D3C10" w:rsidP="000D4ACB">
      <w:r w:rsidRPr="001D3C10">
        <w:rPr>
          <w:noProof/>
        </w:rPr>
        <w:t xml:space="preserve"> </w:t>
      </w:r>
      <w:r w:rsidR="00D61C9D" w:rsidRPr="00D61C9D">
        <w:rPr>
          <w:noProof/>
        </w:rPr>
        <w:t xml:space="preserve"> </w:t>
      </w:r>
      <w:r w:rsidR="00D61C9D">
        <w:rPr>
          <w:noProof/>
        </w:rPr>
        <w:drawing>
          <wp:inline distT="0" distB="0" distL="0" distR="0" wp14:anchorId="2F000ED2" wp14:editId="30454F2E">
            <wp:extent cx="3581400" cy="4095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“q</w:t>
      </w:r>
      <w:r w:rsidR="00727B58">
        <w:t>V</w:t>
      </w:r>
      <w:r>
        <w:t xml:space="preserve">alue”,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75933267" w:rsidR="00C90F54" w:rsidRDefault="00D61C9D" w:rsidP="007712E1">
      <w:r w:rsidRPr="00D61C9D">
        <w:rPr>
          <w:noProof/>
        </w:rPr>
        <w:t xml:space="preserve"> </w:t>
      </w:r>
      <w:r w:rsidR="00F00E8D">
        <w:rPr>
          <w:noProof/>
        </w:rPr>
        <w:drawing>
          <wp:inline distT="0" distB="0" distL="0" distR="0" wp14:anchorId="6DEB03AB" wp14:editId="5F3C8050">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r>
        <w:rPr>
          <w:b/>
        </w:rPr>
        <w:t xml:space="preserve">PrecursorResults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r>
        <w:rPr>
          <w:b/>
        </w:rPr>
        <w:t>annotation_</w:t>
      </w:r>
      <w:r w:rsidR="0056346E">
        <w:rPr>
          <w:b/>
        </w:rPr>
        <w:t>Q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37DD4BBE" w:rsidR="00D61C9D" w:rsidRDefault="00F00E8D" w:rsidP="007712E1">
      <w:r>
        <w:rPr>
          <w:noProof/>
        </w:rPr>
        <w:drawing>
          <wp:inline distT="0" distB="0" distL="0" distR="0" wp14:anchorId="3FAF7B3C" wp14:editId="52BC3DB0">
            <wp:extent cx="5943600" cy="4238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“qValues_Exported_report.csv”.</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“qValue”, which contains the estimated false discovery rate just as the mProphet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‘PeakPicking’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at was used to test the OpenSWATH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OpenSWATH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32515A6D" w:rsidR="00F064EA" w:rsidRDefault="007C7084" w:rsidP="00FF734C">
      <w:r w:rsidRPr="007C7084">
        <w:t xml:space="preserve"> </w:t>
      </w:r>
      <w:r w:rsidR="002A032C" w:rsidRPr="002A032C">
        <w:rPr>
          <w:noProof/>
        </w:rPr>
        <w:t xml:space="preserve"> </w:t>
      </w:r>
      <w:r w:rsidR="002A032C">
        <w:rPr>
          <w:noProof/>
        </w:rPr>
        <w:drawing>
          <wp:inline distT="0" distB="0" distL="0" distR="0" wp14:anchorId="3EA5348B" wp14:editId="5EC3916B">
            <wp:extent cx="5943600" cy="3829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82968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t>The model should look like this:</w:t>
      </w:r>
    </w:p>
    <w:p w14:paraId="25998EF3" w14:textId="5A6F73AD" w:rsidR="00FF734C" w:rsidRDefault="002A032C" w:rsidP="006F69E3">
      <w:pPr>
        <w:spacing w:after="0" w:line="240" w:lineRule="auto"/>
      </w:pPr>
      <w:r>
        <w:rPr>
          <w:noProof/>
        </w:rPr>
        <w:drawing>
          <wp:inline distT="0" distB="0" distL="0" distR="0" wp14:anchorId="19BEAD6D" wp14:editId="430FE7FE">
            <wp:extent cx="5943600" cy="357822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578225"/>
                    </a:xfrm>
                    <a:prstGeom prst="rect">
                      <a:avLst/>
                    </a:prstGeom>
                  </pic:spPr>
                </pic:pic>
              </a:graphicData>
            </a:graphic>
          </wp:inline>
        </w:drawing>
      </w:r>
      <w:r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r>
        <w:t>dialog</w:t>
      </w:r>
      <w:r w:rsidR="00FF734C">
        <w:t xml:space="preserve"> </w:t>
      </w:r>
      <w:r>
        <w:t xml:space="preserve"> make</w:t>
      </w:r>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mProphet: automated data processing and statistical validation for large-scale SRM experiments. </w:t>
      </w:r>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Röst </w:t>
      </w:r>
      <w:r w:rsidRPr="00AD7B30">
        <w:rPr>
          <w:rFonts w:ascii="Calibri" w:hAnsi="Calibri"/>
          <w:i/>
          <w:iCs/>
        </w:rPr>
        <w:t>et al.</w:t>
      </w:r>
      <w:r w:rsidRPr="00AD7B30">
        <w:rPr>
          <w:rFonts w:ascii="Calibri" w:hAnsi="Calibri"/>
        </w:rPr>
        <w:t xml:space="preserve"> OpenSWATH: A tool for the automated, targeted analysis of data-independent acquisition (DIA) MS-data. </w:t>
      </w:r>
      <w:r w:rsidRPr="00AD7B30">
        <w:rPr>
          <w:rFonts w:ascii="Calibri" w:hAnsi="Calibri"/>
          <w:i/>
          <w:iCs/>
        </w:rPr>
        <w:t>Nat. Biotechnol.</w:t>
      </w:r>
      <w:r w:rsidRPr="00AD7B30">
        <w:rPr>
          <w:rFonts w:ascii="Calibri" w:hAnsi="Calibri"/>
        </w:rPr>
        <w:t xml:space="preserve"> doi:accepted</w:t>
      </w:r>
    </w:p>
    <w:p w14:paraId="440D7E02" w14:textId="7759C599" w:rsidR="00C345D0" w:rsidRPr="008F1813" w:rsidRDefault="00C345D0" w:rsidP="007712E1">
      <w:r>
        <w:fldChar w:fldCharType="end"/>
      </w:r>
    </w:p>
    <w:sectPr w:rsidR="00C345D0" w:rsidRPr="008F1813"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B85ED" w14:textId="77777777" w:rsidR="004126FC" w:rsidRDefault="004126FC" w:rsidP="001B31B2">
      <w:pPr>
        <w:spacing w:after="0" w:line="240" w:lineRule="auto"/>
      </w:pPr>
      <w:r>
        <w:separator/>
      </w:r>
    </w:p>
  </w:endnote>
  <w:endnote w:type="continuationSeparator" w:id="0">
    <w:p w14:paraId="7C68D99C" w14:textId="77777777" w:rsidR="004126FC" w:rsidRDefault="004126FC"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890D76">
          <w:rPr>
            <w:noProof/>
          </w:rPr>
          <w:t>6</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87C9B" w14:textId="77777777" w:rsidR="004126FC" w:rsidRDefault="004126FC" w:rsidP="001B31B2">
      <w:pPr>
        <w:spacing w:after="0" w:line="240" w:lineRule="auto"/>
      </w:pPr>
      <w:r>
        <w:separator/>
      </w:r>
    </w:p>
  </w:footnote>
  <w:footnote w:type="continuationSeparator" w:id="0">
    <w:p w14:paraId="188B7EC0" w14:textId="77777777" w:rsidR="004126FC" w:rsidRDefault="004126FC"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325540">
    <w:abstractNumId w:val="4"/>
  </w:num>
  <w:num w:numId="2" w16cid:durableId="1241326485">
    <w:abstractNumId w:val="37"/>
  </w:num>
  <w:num w:numId="3" w16cid:durableId="973368122">
    <w:abstractNumId w:val="26"/>
  </w:num>
  <w:num w:numId="4" w16cid:durableId="821580144">
    <w:abstractNumId w:val="20"/>
  </w:num>
  <w:num w:numId="5" w16cid:durableId="1960213975">
    <w:abstractNumId w:val="12"/>
  </w:num>
  <w:num w:numId="6" w16cid:durableId="1162084687">
    <w:abstractNumId w:val="2"/>
  </w:num>
  <w:num w:numId="7" w16cid:durableId="554590365">
    <w:abstractNumId w:val="22"/>
  </w:num>
  <w:num w:numId="8" w16cid:durableId="39328537">
    <w:abstractNumId w:val="13"/>
  </w:num>
  <w:num w:numId="9" w16cid:durableId="786587324">
    <w:abstractNumId w:val="39"/>
  </w:num>
  <w:num w:numId="10" w16cid:durableId="523595267">
    <w:abstractNumId w:val="40"/>
  </w:num>
  <w:num w:numId="11" w16cid:durableId="1440680833">
    <w:abstractNumId w:val="21"/>
  </w:num>
  <w:num w:numId="12" w16cid:durableId="2073962425">
    <w:abstractNumId w:val="0"/>
  </w:num>
  <w:num w:numId="13" w16cid:durableId="545144658">
    <w:abstractNumId w:val="31"/>
  </w:num>
  <w:num w:numId="14" w16cid:durableId="788008468">
    <w:abstractNumId w:val="24"/>
  </w:num>
  <w:num w:numId="15" w16cid:durableId="619336040">
    <w:abstractNumId w:val="14"/>
  </w:num>
  <w:num w:numId="16" w16cid:durableId="1971201259">
    <w:abstractNumId w:val="8"/>
  </w:num>
  <w:num w:numId="17" w16cid:durableId="2132504986">
    <w:abstractNumId w:val="6"/>
  </w:num>
  <w:num w:numId="18" w16cid:durableId="892616193">
    <w:abstractNumId w:val="15"/>
  </w:num>
  <w:num w:numId="19" w16cid:durableId="1689484246">
    <w:abstractNumId w:val="7"/>
  </w:num>
  <w:num w:numId="20" w16cid:durableId="1533760088">
    <w:abstractNumId w:val="18"/>
  </w:num>
  <w:num w:numId="21" w16cid:durableId="1131089814">
    <w:abstractNumId w:val="29"/>
  </w:num>
  <w:num w:numId="22" w16cid:durableId="923681263">
    <w:abstractNumId w:val="17"/>
  </w:num>
  <w:num w:numId="23" w16cid:durableId="899174185">
    <w:abstractNumId w:val="1"/>
  </w:num>
  <w:num w:numId="24" w16cid:durableId="1035229038">
    <w:abstractNumId w:val="32"/>
  </w:num>
  <w:num w:numId="25" w16cid:durableId="938296463">
    <w:abstractNumId w:val="3"/>
  </w:num>
  <w:num w:numId="26" w16cid:durableId="1439638270">
    <w:abstractNumId w:val="38"/>
  </w:num>
  <w:num w:numId="27" w16cid:durableId="431902226">
    <w:abstractNumId w:val="36"/>
  </w:num>
  <w:num w:numId="28" w16cid:durableId="958680249">
    <w:abstractNumId w:val="11"/>
  </w:num>
  <w:num w:numId="29" w16cid:durableId="1550609587">
    <w:abstractNumId w:val="23"/>
  </w:num>
  <w:num w:numId="30" w16cid:durableId="486560363">
    <w:abstractNumId w:val="9"/>
  </w:num>
  <w:num w:numId="31" w16cid:durableId="60520134">
    <w:abstractNumId w:val="35"/>
  </w:num>
  <w:num w:numId="32" w16cid:durableId="1704865810">
    <w:abstractNumId w:val="5"/>
  </w:num>
  <w:num w:numId="33" w16cid:durableId="48462724">
    <w:abstractNumId w:val="25"/>
  </w:num>
  <w:num w:numId="34" w16cid:durableId="779181763">
    <w:abstractNumId w:val="27"/>
  </w:num>
  <w:num w:numId="35" w16cid:durableId="496966252">
    <w:abstractNumId w:val="16"/>
  </w:num>
  <w:num w:numId="36" w16cid:durableId="1877934105">
    <w:abstractNumId w:val="30"/>
  </w:num>
  <w:num w:numId="37" w16cid:durableId="58136771">
    <w:abstractNumId w:val="28"/>
  </w:num>
  <w:num w:numId="38" w16cid:durableId="1781801813">
    <w:abstractNumId w:val="34"/>
  </w:num>
  <w:num w:numId="39" w16cid:durableId="1316952002">
    <w:abstractNumId w:val="10"/>
  </w:num>
  <w:num w:numId="40" w16cid:durableId="1686328559">
    <w:abstractNumId w:val="19"/>
  </w:num>
  <w:num w:numId="41" w16cid:durableId="20485262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20D5"/>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26FC"/>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501DD0"/>
    <w:rsid w:val="00510220"/>
    <w:rsid w:val="00510403"/>
    <w:rsid w:val="00512109"/>
    <w:rsid w:val="00512E98"/>
    <w:rsid w:val="00514D52"/>
    <w:rsid w:val="00517F01"/>
    <w:rsid w:val="00523879"/>
    <w:rsid w:val="005250CE"/>
    <w:rsid w:val="00533341"/>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C71DD"/>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0D76"/>
    <w:rsid w:val="00892D63"/>
    <w:rsid w:val="00893357"/>
    <w:rsid w:val="0089377F"/>
    <w:rsid w:val="0089609D"/>
    <w:rsid w:val="00897558"/>
    <w:rsid w:val="008A2FF1"/>
    <w:rsid w:val="008A58CC"/>
    <w:rsid w:val="008A724D"/>
    <w:rsid w:val="008B22EC"/>
    <w:rsid w:val="008B5544"/>
    <w:rsid w:val="008B5E72"/>
    <w:rsid w:val="008C4249"/>
    <w:rsid w:val="008C65D9"/>
    <w:rsid w:val="008C694B"/>
    <w:rsid w:val="008D4572"/>
    <w:rsid w:val="008F1466"/>
    <w:rsid w:val="008F1813"/>
    <w:rsid w:val="008F2079"/>
    <w:rsid w:val="008F435C"/>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355E"/>
    <w:rsid w:val="00EF43F1"/>
    <w:rsid w:val="00EF47DE"/>
    <w:rsid w:val="00F00E8D"/>
    <w:rsid w:val="00F02E90"/>
    <w:rsid w:val="00F064EA"/>
    <w:rsid w:val="00F06DFB"/>
    <w:rsid w:val="00F07967"/>
    <w:rsid w:val="00F12DE5"/>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15:docId w15:val="{8B6605B8-5D3D-4175-BDD3-D05A56AD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kyline.gs.washington.edu/tutorials/PeakPicking.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proteomics.ethz.ch/openswath.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D63C-B025-4C36-B4DF-AD67FE10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2013-12-29T00:30:00Z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