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000000"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350"/>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5FEBBB32" w:rsidR="001C55F1" w:rsidRDefault="00E9752B" w:rsidP="00C86489">
      <w:r>
        <w:rPr>
          <w:noProof/>
        </w:rPr>
        <w:drawing>
          <wp:inline distT="0" distB="0" distL="0" distR="0" wp14:anchorId="7179510A" wp14:editId="00B968F7">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70EFFE5B" w:rsidR="00DE5BBD" w:rsidRDefault="00E9752B" w:rsidP="00672317">
      <w:r>
        <w:rPr>
          <w:noProof/>
        </w:rPr>
        <w:drawing>
          <wp:inline distT="0" distB="0" distL="0" distR="0" wp14:anchorId="5FADF87F" wp14:editId="3C1AF32E">
            <wp:extent cx="2286000" cy="667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67512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2353631E" w:rsidR="00BA46EB" w:rsidRDefault="00A31A38" w:rsidP="00672317">
      <w:r>
        <w:rPr>
          <w:noProof/>
        </w:rPr>
        <w:drawing>
          <wp:inline distT="0" distB="0" distL="0" distR="0" wp14:anchorId="510E2866" wp14:editId="055EC648">
            <wp:extent cx="5943600"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350"/>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360B44F9" w:rsidR="00BA46EB" w:rsidRDefault="00A31A38" w:rsidP="00672317">
      <w:r>
        <w:rPr>
          <w:noProof/>
        </w:rPr>
        <w:drawing>
          <wp:inline distT="0" distB="0" distL="0" distR="0" wp14:anchorId="6961D54D" wp14:editId="7DC66A76">
            <wp:extent cx="5943600"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5310"/>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r>
        <w:t>Save this document as “Amino Acid Metabolism.sky” in the tutorial folder you created.</w:t>
      </w:r>
    </w:p>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03E13" w14:textId="77777777" w:rsidR="00745C03" w:rsidRDefault="00745C03" w:rsidP="00F726CD">
      <w:pPr>
        <w:spacing w:after="0" w:line="240" w:lineRule="auto"/>
      </w:pPr>
      <w:r>
        <w:separator/>
      </w:r>
    </w:p>
  </w:endnote>
  <w:endnote w:type="continuationSeparator" w:id="0">
    <w:p w14:paraId="6E7E0C73" w14:textId="77777777" w:rsidR="00745C03" w:rsidRDefault="00745C03"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D2790" w14:textId="77777777" w:rsidR="00186405" w:rsidRDefault="00186405">
    <w:pPr>
      <w:pStyle w:val="Footer"/>
      <w:jc w:val="center"/>
    </w:pPr>
    <w:r>
      <w:fldChar w:fldCharType="begin"/>
    </w:r>
    <w:r>
      <w:instrText xml:space="preserve"> PAGE   \* MERGEFORMAT </w:instrText>
    </w:r>
    <w:r>
      <w:fldChar w:fldCharType="separate"/>
    </w:r>
    <w:r w:rsidR="00133385">
      <w:rPr>
        <w:noProof/>
      </w:rPr>
      <w:t>1</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9FE2C" w14:textId="77777777" w:rsidR="00745C03" w:rsidRDefault="00745C03" w:rsidP="00F726CD">
      <w:pPr>
        <w:spacing w:after="0" w:line="240" w:lineRule="auto"/>
      </w:pPr>
      <w:r>
        <w:separator/>
      </w:r>
    </w:p>
  </w:footnote>
  <w:footnote w:type="continuationSeparator" w:id="0">
    <w:p w14:paraId="67E25C35" w14:textId="77777777" w:rsidR="00745C03" w:rsidRDefault="00745C03"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83646512">
    <w:abstractNumId w:val="21"/>
  </w:num>
  <w:num w:numId="2" w16cid:durableId="1959214862">
    <w:abstractNumId w:val="15"/>
  </w:num>
  <w:num w:numId="3" w16cid:durableId="1112675708">
    <w:abstractNumId w:val="35"/>
  </w:num>
  <w:num w:numId="4" w16cid:durableId="271058348">
    <w:abstractNumId w:val="30"/>
  </w:num>
  <w:num w:numId="5" w16cid:durableId="1402949949">
    <w:abstractNumId w:val="10"/>
  </w:num>
  <w:num w:numId="6" w16cid:durableId="250747770">
    <w:abstractNumId w:val="37"/>
  </w:num>
  <w:num w:numId="7" w16cid:durableId="1412044764">
    <w:abstractNumId w:val="45"/>
  </w:num>
  <w:num w:numId="8" w16cid:durableId="1391803920">
    <w:abstractNumId w:val="4"/>
  </w:num>
  <w:num w:numId="9" w16cid:durableId="1375234979">
    <w:abstractNumId w:val="25"/>
  </w:num>
  <w:num w:numId="10" w16cid:durableId="870068639">
    <w:abstractNumId w:val="17"/>
  </w:num>
  <w:num w:numId="11" w16cid:durableId="643045085">
    <w:abstractNumId w:val="44"/>
  </w:num>
  <w:num w:numId="12" w16cid:durableId="1265042510">
    <w:abstractNumId w:val="41"/>
  </w:num>
  <w:num w:numId="13" w16cid:durableId="149949757">
    <w:abstractNumId w:val="7"/>
  </w:num>
  <w:num w:numId="14" w16cid:durableId="1650554918">
    <w:abstractNumId w:val="43"/>
  </w:num>
  <w:num w:numId="15" w16cid:durableId="438918072">
    <w:abstractNumId w:val="9"/>
  </w:num>
  <w:num w:numId="16" w16cid:durableId="825324736">
    <w:abstractNumId w:val="20"/>
  </w:num>
  <w:num w:numId="17" w16cid:durableId="1543639738">
    <w:abstractNumId w:val="11"/>
  </w:num>
  <w:num w:numId="18" w16cid:durableId="561133989">
    <w:abstractNumId w:val="5"/>
  </w:num>
  <w:num w:numId="19" w16cid:durableId="1642811269">
    <w:abstractNumId w:val="42"/>
  </w:num>
  <w:num w:numId="20" w16cid:durableId="1730570224">
    <w:abstractNumId w:val="24"/>
  </w:num>
  <w:num w:numId="21" w16cid:durableId="431123562">
    <w:abstractNumId w:val="18"/>
  </w:num>
  <w:num w:numId="22" w16cid:durableId="639268364">
    <w:abstractNumId w:val="3"/>
  </w:num>
  <w:num w:numId="23" w16cid:durableId="2098673418">
    <w:abstractNumId w:val="36"/>
  </w:num>
  <w:num w:numId="24" w16cid:durableId="1191339552">
    <w:abstractNumId w:val="38"/>
  </w:num>
  <w:num w:numId="25" w16cid:durableId="1464691377">
    <w:abstractNumId w:val="13"/>
  </w:num>
  <w:num w:numId="26" w16cid:durableId="1602029908">
    <w:abstractNumId w:val="23"/>
  </w:num>
  <w:num w:numId="27" w16cid:durableId="334038377">
    <w:abstractNumId w:val="12"/>
  </w:num>
  <w:num w:numId="28" w16cid:durableId="6567594">
    <w:abstractNumId w:val="26"/>
  </w:num>
  <w:num w:numId="29" w16cid:durableId="1441795335">
    <w:abstractNumId w:val="34"/>
  </w:num>
  <w:num w:numId="30" w16cid:durableId="1497726895">
    <w:abstractNumId w:val="22"/>
  </w:num>
  <w:num w:numId="31" w16cid:durableId="1267080440">
    <w:abstractNumId w:val="16"/>
  </w:num>
  <w:num w:numId="32" w16cid:durableId="1199734595">
    <w:abstractNumId w:val="2"/>
  </w:num>
  <w:num w:numId="33" w16cid:durableId="367798738">
    <w:abstractNumId w:val="39"/>
  </w:num>
  <w:num w:numId="34" w16cid:durableId="1526627404">
    <w:abstractNumId w:val="19"/>
  </w:num>
  <w:num w:numId="35" w16cid:durableId="1766802372">
    <w:abstractNumId w:val="29"/>
  </w:num>
  <w:num w:numId="36" w16cid:durableId="629960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39912267">
    <w:abstractNumId w:val="14"/>
  </w:num>
  <w:num w:numId="38" w16cid:durableId="1461341403">
    <w:abstractNumId w:val="6"/>
  </w:num>
  <w:num w:numId="39" w16cid:durableId="1612974058">
    <w:abstractNumId w:val="8"/>
  </w:num>
  <w:num w:numId="40" w16cid:durableId="932590725">
    <w:abstractNumId w:val="28"/>
  </w:num>
  <w:num w:numId="41" w16cid:durableId="2048868434">
    <w:abstractNumId w:val="33"/>
  </w:num>
  <w:num w:numId="42" w16cid:durableId="2138520250">
    <w:abstractNumId w:val="32"/>
  </w:num>
  <w:num w:numId="43" w16cid:durableId="1145391465">
    <w:abstractNumId w:val="27"/>
  </w:num>
  <w:num w:numId="44" w16cid:durableId="702219354">
    <w:abstractNumId w:val="46"/>
  </w:num>
  <w:num w:numId="45" w16cid:durableId="454560585">
    <w:abstractNumId w:val="1"/>
  </w:num>
  <w:num w:numId="46" w16cid:durableId="2096658892">
    <w:abstractNumId w:val="40"/>
  </w:num>
  <w:num w:numId="47" w16cid:durableId="83429699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72C"/>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209"/>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5C03"/>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2D70"/>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E13B1-7319-4F88-B4D6-BF391B57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15615</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4</cp:revision>
  <cp:lastPrinted>2013-11-01T17:12:00Z</cp:lastPrinted>
  <dcterms:created xsi:type="dcterms:W3CDTF">2024-09-16T01:51:00Z</dcterms:created>
  <dcterms:modified xsi:type="dcterms:W3CDTF">2024-09-16T02:37:00Z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