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5DE83" w14:textId="07A3781A" w:rsidR="00123D4B" w:rsidRPr="00123D4B" w:rsidRDefault="009F43B1" w:rsidP="00123D4B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3D4B">
        <w:rPr>
          <w:rFonts w:ascii="Times New Roman" w:hAnsi="Times New Roman" w:cs="Times New Roman"/>
          <w:b/>
          <w:sz w:val="28"/>
          <w:szCs w:val="28"/>
        </w:rPr>
        <w:t>CHAPTER VI</w:t>
      </w:r>
    </w:p>
    <w:p w14:paraId="25433DBC" w14:textId="77777777" w:rsidR="00123D4B" w:rsidRPr="00123D4B" w:rsidRDefault="00123D4B" w:rsidP="00123D4B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CDEDF7" w14:textId="35CE0F8B" w:rsidR="009F43B1" w:rsidRPr="00123D4B" w:rsidRDefault="009F43B1" w:rsidP="00123D4B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3D4B">
        <w:rPr>
          <w:rFonts w:ascii="Times New Roman" w:hAnsi="Times New Roman" w:cs="Times New Roman"/>
          <w:b/>
          <w:sz w:val="32"/>
          <w:szCs w:val="32"/>
        </w:rPr>
        <w:t>Addressing Complex Engineering Problems and Activities</w:t>
      </w:r>
    </w:p>
    <w:p w14:paraId="3D37205D" w14:textId="06E15399" w:rsidR="00123D4B" w:rsidRDefault="00123D4B" w:rsidP="00123D4B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E09141" w14:textId="1E0927E5" w:rsidR="00DE34F3" w:rsidRPr="00123D4B" w:rsidRDefault="00DE34F3" w:rsidP="00DE34F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C50EF" w14:textId="77777777" w:rsidR="00DE34F3" w:rsidRPr="00762A34" w:rsidRDefault="00DE34F3" w:rsidP="00DE34F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3B68D" w14:textId="5D94D689" w:rsidR="000766D2" w:rsidRDefault="00DE34F3" w:rsidP="00FB542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E34F3">
        <w:rPr>
          <w:rFonts w:ascii="Times New Roman" w:hAnsi="Times New Roman" w:cs="Times New Roman"/>
          <w:b/>
          <w:bCs/>
          <w:sz w:val="28"/>
          <w:szCs w:val="28"/>
        </w:rPr>
        <w:t xml:space="preserve">6.1. </w:t>
      </w:r>
      <w:r w:rsidR="00366157">
        <w:rPr>
          <w:rFonts w:ascii="Times New Roman" w:hAnsi="Times New Roman" w:cs="Times New Roman"/>
          <w:b/>
          <w:bCs/>
          <w:sz w:val="28"/>
          <w:szCs w:val="28"/>
        </w:rPr>
        <w:t>Complex Engineering Problems associated with the thesis</w:t>
      </w:r>
    </w:p>
    <w:p w14:paraId="7A3A85BF" w14:textId="3676102D" w:rsidR="005B7724" w:rsidRPr="000766D2" w:rsidRDefault="000766D2" w:rsidP="00FB5429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6D2">
        <w:rPr>
          <w:rFonts w:ascii="Times New Roman" w:hAnsi="Times New Roman" w:cs="Times New Roman"/>
          <w:sz w:val="24"/>
          <w:szCs w:val="24"/>
        </w:rPr>
        <w:t xml:space="preserve">The ranges of Complex Problem Solving (P1 – P7) that should be addressed in the program are given in </w:t>
      </w:r>
      <w:r w:rsidR="00340B4D">
        <w:rPr>
          <w:rFonts w:ascii="Times New Roman" w:hAnsi="Times New Roman" w:cs="Times New Roman"/>
          <w:sz w:val="24"/>
          <w:szCs w:val="24"/>
        </w:rPr>
        <w:t>Table</w:t>
      </w:r>
      <w:r w:rsidRPr="00076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766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340B4D">
        <w:rPr>
          <w:rFonts w:ascii="Times New Roman" w:hAnsi="Times New Roman" w:cs="Times New Roman"/>
          <w:sz w:val="24"/>
          <w:szCs w:val="24"/>
        </w:rPr>
        <w:t>.</w:t>
      </w:r>
    </w:p>
    <w:p w14:paraId="783D6DB6" w14:textId="131E9583" w:rsidR="009C0677" w:rsidRPr="009C0677" w:rsidRDefault="009C0677" w:rsidP="009C0677">
      <w:pPr>
        <w:spacing w:before="240" w:after="0" w:line="276" w:lineRule="auto"/>
        <w:jc w:val="center"/>
        <w:rPr>
          <w:rFonts w:ascii="Times New Roman" w:hAnsi="Times New Roman" w:cs="Times New Roman"/>
        </w:rPr>
      </w:pPr>
      <w:r w:rsidRPr="00123D4B">
        <w:rPr>
          <w:rFonts w:ascii="Times New Roman" w:hAnsi="Times New Roman" w:cs="Times New Roman"/>
          <w:b/>
          <w:color w:val="0D0D0D"/>
          <w:shd w:val="clear" w:color="auto" w:fill="FFFFFF"/>
        </w:rPr>
        <w:t>Table 6.1:</w:t>
      </w:r>
      <w:r w:rsidRPr="009C0677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9C0677">
        <w:rPr>
          <w:rFonts w:ascii="Times New Roman" w:hAnsi="Times New Roman" w:cs="Times New Roman"/>
        </w:rPr>
        <w:t>Range of Complex Engineering Problem Solving</w:t>
      </w:r>
    </w:p>
    <w:p w14:paraId="175A770B" w14:textId="77777777" w:rsidR="009C0677" w:rsidRPr="009C0677" w:rsidRDefault="009C0677" w:rsidP="009C0677">
      <w:pPr>
        <w:spacing w:before="240" w:after="0" w:line="276" w:lineRule="auto"/>
        <w:jc w:val="center"/>
        <w:rPr>
          <w:rFonts w:ascii="Times New Roman" w:hAnsi="Times New Roman" w:cs="Times New Roman"/>
          <w:color w:val="0D0D0D"/>
          <w:sz w:val="2"/>
          <w:szCs w:val="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20"/>
        <w:gridCol w:w="5485"/>
      </w:tblGrid>
      <w:tr w:rsidR="000766D2" w14:paraId="2111EDD9" w14:textId="77777777" w:rsidTr="000766D2">
        <w:tc>
          <w:tcPr>
            <w:tcW w:w="3145" w:type="dxa"/>
          </w:tcPr>
          <w:p w14:paraId="7E7D8829" w14:textId="6BA5770A" w:rsidR="000766D2" w:rsidRPr="009C0677" w:rsidRDefault="000766D2" w:rsidP="009C0677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  <w:t>Attribute</w:t>
            </w:r>
          </w:p>
        </w:tc>
        <w:tc>
          <w:tcPr>
            <w:tcW w:w="6205" w:type="dxa"/>
            <w:gridSpan w:val="2"/>
          </w:tcPr>
          <w:p w14:paraId="3F5AFFBE" w14:textId="63B9A5FC" w:rsidR="000766D2" w:rsidRPr="000766D2" w:rsidRDefault="000766D2" w:rsidP="00DE03AA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0766D2"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  <w:t>Complex Engineering Problem</w:t>
            </w:r>
          </w:p>
        </w:tc>
      </w:tr>
      <w:tr w:rsidR="003208EA" w14:paraId="628C0D50" w14:textId="77777777" w:rsidTr="003208EA">
        <w:tc>
          <w:tcPr>
            <w:tcW w:w="3145" w:type="dxa"/>
          </w:tcPr>
          <w:p w14:paraId="69D3A822" w14:textId="0E5B28C9" w:rsidR="003208EA" w:rsidRPr="009C0677" w:rsidRDefault="00E97C76" w:rsidP="00E97C76">
            <w:pPr>
              <w:spacing w:before="240" w:after="240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Depth of knowledge</w:t>
            </w:r>
          </w:p>
        </w:tc>
        <w:tc>
          <w:tcPr>
            <w:tcW w:w="720" w:type="dxa"/>
          </w:tcPr>
          <w:p w14:paraId="77E5FF0F" w14:textId="060F397F" w:rsidR="003208EA" w:rsidRPr="009C0677" w:rsidRDefault="00E97C76" w:rsidP="003208EA">
            <w:pPr>
              <w:spacing w:before="240" w:line="276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P1</w:t>
            </w:r>
          </w:p>
        </w:tc>
        <w:tc>
          <w:tcPr>
            <w:tcW w:w="5485" w:type="dxa"/>
          </w:tcPr>
          <w:p w14:paraId="4D76D311" w14:textId="468F4C27" w:rsidR="003208EA" w:rsidRPr="009C0677" w:rsidRDefault="00B54E9C" w:rsidP="000766D2">
            <w:pPr>
              <w:spacing w:before="240" w:after="240" w:line="276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This thesis</w:t>
            </w:r>
            <w:r w:rsidR="00123D4B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work</w:t>
            </w: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="00123D4B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needed </w:t>
            </w:r>
            <w:r w:rsidR="00EB17AA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the </w:t>
            </w:r>
            <w:r w:rsidR="00123D4B" w:rsidRPr="00123D4B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basics of natural language processing, including tokenization, part-of-speech tagging, syntactic parsing, and semantic analysis.</w:t>
            </w: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="00123D4B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Also </w:t>
            </w:r>
            <w:r w:rsidR="00EB17AA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need to know </w:t>
            </w:r>
            <w:r w:rsidR="00123D4B" w:rsidRPr="00123D4B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Bangla linguistics, including its morphology, syntax, and semantics, is crucial. </w:t>
            </w:r>
          </w:p>
        </w:tc>
      </w:tr>
      <w:tr w:rsidR="003208EA" w14:paraId="79B02E80" w14:textId="77777777" w:rsidTr="003208EA">
        <w:tc>
          <w:tcPr>
            <w:tcW w:w="3145" w:type="dxa"/>
          </w:tcPr>
          <w:p w14:paraId="0AEAE871" w14:textId="7C7D5320" w:rsidR="003208EA" w:rsidRPr="009C0677" w:rsidRDefault="00E97C76" w:rsidP="00E97C76">
            <w:pPr>
              <w:spacing w:before="240" w:after="240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Range of conflicting requirements</w:t>
            </w:r>
          </w:p>
        </w:tc>
        <w:tc>
          <w:tcPr>
            <w:tcW w:w="720" w:type="dxa"/>
          </w:tcPr>
          <w:p w14:paraId="70E3FD55" w14:textId="302897B6" w:rsidR="003208EA" w:rsidRPr="009C0677" w:rsidRDefault="00E97C76" w:rsidP="003208EA">
            <w:pPr>
              <w:spacing w:before="240" w:line="276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P2</w:t>
            </w:r>
          </w:p>
        </w:tc>
        <w:tc>
          <w:tcPr>
            <w:tcW w:w="5485" w:type="dxa"/>
          </w:tcPr>
          <w:p w14:paraId="757A8E40" w14:textId="2B1FB8C0" w:rsidR="003208EA" w:rsidRPr="009C0677" w:rsidRDefault="00EB17AA" w:rsidP="009C0677">
            <w:pPr>
              <w:spacing w:before="240" w:after="240" w:line="276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EB17AA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Dependency parsing models heavily rely on annotated data for training. Ensuring the quality of annotations is essential for building accurate parsers.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B</w:t>
            </w:r>
            <w:r w:rsidRPr="00EB17AA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angla language exhibits syntactic complexities such as morphological variations, compound words, and flexible word order.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EB17AA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Challenges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occur when </w:t>
            </w:r>
            <w:r w:rsidRPr="00EB17AA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more complex models achieve higher accuracy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EB17AA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for resource-constrained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EB17AA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Bangla</w:t>
            </w:r>
            <w:r w:rsidRPr="00EB17AA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language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</w:t>
            </w:r>
            <w:r w:rsidRPr="00EB17AA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3208EA" w14:paraId="6664E325" w14:textId="77777777" w:rsidTr="003208EA">
        <w:tc>
          <w:tcPr>
            <w:tcW w:w="3145" w:type="dxa"/>
          </w:tcPr>
          <w:p w14:paraId="72547787" w14:textId="1439815B" w:rsidR="003208EA" w:rsidRPr="009C0677" w:rsidRDefault="00E97C76" w:rsidP="00E97C76">
            <w:pPr>
              <w:spacing w:before="240" w:after="240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Depth of analysis</w:t>
            </w:r>
          </w:p>
        </w:tc>
        <w:tc>
          <w:tcPr>
            <w:tcW w:w="720" w:type="dxa"/>
          </w:tcPr>
          <w:p w14:paraId="2D7A738D" w14:textId="5A8DBF25" w:rsidR="003208EA" w:rsidRPr="009C0677" w:rsidRDefault="00E97C76" w:rsidP="003208EA">
            <w:pPr>
              <w:spacing w:before="240" w:line="276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P3</w:t>
            </w:r>
          </w:p>
        </w:tc>
        <w:tc>
          <w:tcPr>
            <w:tcW w:w="5485" w:type="dxa"/>
          </w:tcPr>
          <w:p w14:paraId="4DAFA54A" w14:textId="4F2050DA" w:rsidR="003208EA" w:rsidRPr="009C0677" w:rsidRDefault="00EB17AA" w:rsidP="00B54E9C">
            <w:pPr>
              <w:spacing w:before="240" w:after="240" w:line="276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For Bangla language, weighted fully connected graph from input sentence requires a lot of knowledge about Bangla sentence structure, grammar rules, its 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lastRenderedPageBreak/>
              <w:t xml:space="preserve">exceptional cases. </w:t>
            </w:r>
            <w:proofErr w:type="gramStart"/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Also</w:t>
            </w:r>
            <w:proofErr w:type="gramEnd"/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to </w:t>
            </w:r>
            <w:r w:rsidR="00610A7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verify the output dependencies need depth of knowledge.</w:t>
            </w:r>
          </w:p>
        </w:tc>
      </w:tr>
      <w:tr w:rsidR="003208EA" w14:paraId="74D4EE53" w14:textId="77777777" w:rsidTr="003208EA">
        <w:tc>
          <w:tcPr>
            <w:tcW w:w="3145" w:type="dxa"/>
          </w:tcPr>
          <w:p w14:paraId="391201D2" w14:textId="2C8BB819" w:rsidR="003208EA" w:rsidRPr="009C0677" w:rsidRDefault="00E97C76" w:rsidP="00E97C76">
            <w:pPr>
              <w:spacing w:before="240" w:after="240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lastRenderedPageBreak/>
              <w:t>Familiarity</w:t>
            </w:r>
          </w:p>
        </w:tc>
        <w:tc>
          <w:tcPr>
            <w:tcW w:w="720" w:type="dxa"/>
          </w:tcPr>
          <w:p w14:paraId="02DCA05F" w14:textId="6DB03134" w:rsidR="003208EA" w:rsidRPr="009C0677" w:rsidRDefault="00E97C76" w:rsidP="003208EA">
            <w:pPr>
              <w:spacing w:before="240" w:line="276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P4</w:t>
            </w:r>
          </w:p>
        </w:tc>
        <w:tc>
          <w:tcPr>
            <w:tcW w:w="5485" w:type="dxa"/>
          </w:tcPr>
          <w:p w14:paraId="65011023" w14:textId="038F7C77" w:rsidR="003208EA" w:rsidRPr="00610A76" w:rsidRDefault="00610A76" w:rsidP="00B54E9C">
            <w:pPr>
              <w:spacing w:before="240" w:after="240" w:line="276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610A76"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 xml:space="preserve">Familiarity with Bangla Linguistics, dependency Parsing Algorithms (transition and 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>graph-based</w:t>
            </w:r>
            <w:r w:rsidRPr="00610A76"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 xml:space="preserve">), Evaluation Metrics and 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>Standards</w:t>
            </w:r>
            <w:r w:rsidRPr="00610A76"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>, Bangla Text Corpora and Resources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208EA" w14:paraId="66910B5D" w14:textId="77777777" w:rsidTr="003208EA">
        <w:tc>
          <w:tcPr>
            <w:tcW w:w="3145" w:type="dxa"/>
          </w:tcPr>
          <w:p w14:paraId="23E91613" w14:textId="096AD966" w:rsidR="003208EA" w:rsidRPr="009C0677" w:rsidRDefault="00E97C76" w:rsidP="00DE03AA">
            <w:pPr>
              <w:spacing w:before="240" w:after="240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Extent of applicable codes</w:t>
            </w:r>
          </w:p>
        </w:tc>
        <w:tc>
          <w:tcPr>
            <w:tcW w:w="720" w:type="dxa"/>
          </w:tcPr>
          <w:p w14:paraId="40008EF3" w14:textId="47808248" w:rsidR="003208EA" w:rsidRPr="009C0677" w:rsidRDefault="00E97C76" w:rsidP="003208EA">
            <w:pPr>
              <w:spacing w:before="240" w:line="276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P5</w:t>
            </w:r>
          </w:p>
        </w:tc>
        <w:tc>
          <w:tcPr>
            <w:tcW w:w="5485" w:type="dxa"/>
          </w:tcPr>
          <w:p w14:paraId="7078D505" w14:textId="7AEDAD4F" w:rsidR="003208EA" w:rsidRPr="009C0677" w:rsidRDefault="00610A76" w:rsidP="00B54E9C">
            <w:pPr>
              <w:spacing w:before="240" w:after="240" w:line="276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610A76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applicable codes in thesis can vary depending on the specific focus of the research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. It includes</w:t>
            </w:r>
            <w:r w:rsidRPr="00610A76"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>m</w:t>
            </w:r>
            <w:r w:rsidRPr="00610A76"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 xml:space="preserve">odel 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>e</w:t>
            </w:r>
            <w:r w:rsidRPr="00610A76"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 xml:space="preserve">valuation, 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>e</w:t>
            </w:r>
            <w:r w:rsidRPr="00610A76"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 xml:space="preserve">xperimental 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>s</w:t>
            </w:r>
            <w:r w:rsidRPr="00610A76"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 xml:space="preserve">etup and 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>a</w:t>
            </w:r>
            <w:r w:rsidRPr="00610A76"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 xml:space="preserve">nalysis, 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>i</w:t>
            </w:r>
            <w:r w:rsidRPr="00610A76"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 xml:space="preserve">ntegration with NLP </w:t>
            </w:r>
            <w:r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>l</w:t>
            </w:r>
            <w:r w:rsidRPr="00610A76"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>ibraries</w:t>
            </w:r>
          </w:p>
        </w:tc>
      </w:tr>
      <w:tr w:rsidR="003208EA" w14:paraId="7A35EAB7" w14:textId="77777777" w:rsidTr="003208EA">
        <w:tc>
          <w:tcPr>
            <w:tcW w:w="3145" w:type="dxa"/>
          </w:tcPr>
          <w:p w14:paraId="7ED8FC21" w14:textId="434CB0C5" w:rsidR="003208EA" w:rsidRPr="009C0677" w:rsidRDefault="00E97C76" w:rsidP="00DE03AA">
            <w:pPr>
              <w:spacing w:before="240" w:after="240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Interdependence</w:t>
            </w:r>
          </w:p>
        </w:tc>
        <w:tc>
          <w:tcPr>
            <w:tcW w:w="720" w:type="dxa"/>
          </w:tcPr>
          <w:p w14:paraId="654D8096" w14:textId="1E72EFC3" w:rsidR="003208EA" w:rsidRPr="009C0677" w:rsidRDefault="00E97C76" w:rsidP="003208EA">
            <w:pPr>
              <w:spacing w:before="240" w:line="276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P7</w:t>
            </w:r>
          </w:p>
        </w:tc>
        <w:tc>
          <w:tcPr>
            <w:tcW w:w="5485" w:type="dxa"/>
          </w:tcPr>
          <w:p w14:paraId="694AEB68" w14:textId="6CE9F226" w:rsidR="003208EA" w:rsidRPr="009C0677" w:rsidRDefault="009C0677" w:rsidP="009C0677">
            <w:pPr>
              <w:spacing w:before="240" w:after="240" w:line="276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C067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</w:t>
            </w:r>
            <w:r w:rsidRPr="00D34A3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he project consists of multiple interrelated sub-problems, such as </w:t>
            </w:r>
            <w:r w:rsidR="00D34A3F" w:rsidRPr="00D34A3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</w:t>
            </w:r>
            <w:r w:rsidR="00D34A3F" w:rsidRPr="00D34A3F">
              <w:rPr>
                <w:rFonts w:ascii="Times New Roman" w:hAnsi="Times New Roman" w:cs="Times New Roman"/>
                <w:bCs/>
                <w:color w:val="0D0D0D"/>
                <w:sz w:val="24"/>
                <w:szCs w:val="24"/>
                <w:shd w:val="clear" w:color="auto" w:fill="FFFFFF"/>
              </w:rPr>
              <w:t>lgorithm selection and language characteristics, data annotation and model training, edge labeling according to language characteristics.</w:t>
            </w:r>
          </w:p>
        </w:tc>
      </w:tr>
    </w:tbl>
    <w:p w14:paraId="0D99A2C9" w14:textId="77777777" w:rsidR="009C109E" w:rsidRDefault="009C109E" w:rsidP="00A93D3D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</w:p>
    <w:p w14:paraId="4D761169" w14:textId="77777777" w:rsidR="009C109E" w:rsidRDefault="009C109E" w:rsidP="00A93D3D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</w:p>
    <w:p w14:paraId="36771716" w14:textId="0250A402" w:rsidR="005B7724" w:rsidRDefault="005B7724" w:rsidP="00A93D3D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5B7724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6.2. </w:t>
      </w:r>
      <w:r w:rsidR="009C109E">
        <w:rPr>
          <w:rFonts w:ascii="Times New Roman" w:hAnsi="Times New Roman" w:cs="Times New Roman"/>
          <w:b/>
          <w:bCs/>
          <w:sz w:val="28"/>
          <w:szCs w:val="28"/>
        </w:rPr>
        <w:t>Complex Engineering Activities Associated with the Thesis</w:t>
      </w:r>
    </w:p>
    <w:p w14:paraId="08566A24" w14:textId="2C9424F7" w:rsidR="009C109E" w:rsidRDefault="009C109E" w:rsidP="009C109E">
      <w:pPr>
        <w:spacing w:before="240" w:after="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ranges of Complex Engineering Activities (A1 – A5) that are addressed in the program are given in Table 6.2.</w:t>
      </w:r>
    </w:p>
    <w:p w14:paraId="140CD6BD" w14:textId="4B96D465" w:rsidR="009C109E" w:rsidRPr="009C109E" w:rsidRDefault="009C109E" w:rsidP="009C109E">
      <w:pPr>
        <w:spacing w:before="240" w:after="240" w:line="360" w:lineRule="auto"/>
        <w:jc w:val="center"/>
        <w:rPr>
          <w:rFonts w:ascii="Times New Roman" w:hAnsi="Times New Roman" w:cs="Times New Roman"/>
        </w:rPr>
      </w:pPr>
      <w:r w:rsidRPr="00123D4B">
        <w:rPr>
          <w:rFonts w:ascii="Times New Roman" w:hAnsi="Times New Roman" w:cs="Times New Roman"/>
          <w:b/>
          <w:color w:val="0D0D0D"/>
          <w:shd w:val="clear" w:color="auto" w:fill="FFFFFF"/>
        </w:rPr>
        <w:t>Table 6.2:</w:t>
      </w:r>
      <w:r w:rsidRPr="009C109E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9C109E">
        <w:rPr>
          <w:rFonts w:ascii="Times New Roman" w:hAnsi="Times New Roman" w:cs="Times New Roman"/>
        </w:rPr>
        <w:t>Range of Complex Engineering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668"/>
        <w:gridCol w:w="6487"/>
      </w:tblGrid>
      <w:tr w:rsidR="009C109E" w14:paraId="2D19C476" w14:textId="77777777" w:rsidTr="00C43D30">
        <w:tc>
          <w:tcPr>
            <w:tcW w:w="2195" w:type="dxa"/>
          </w:tcPr>
          <w:p w14:paraId="03877539" w14:textId="77777777" w:rsidR="009C109E" w:rsidRDefault="009C109E" w:rsidP="001E5C3F">
            <w:pPr>
              <w:spacing w:before="240" w:after="240" w:line="2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7155" w:type="dxa"/>
            <w:gridSpan w:val="2"/>
          </w:tcPr>
          <w:p w14:paraId="7EA8CEFD" w14:textId="77777777" w:rsidR="009C109E" w:rsidRDefault="009C109E" w:rsidP="001E5C3F">
            <w:pPr>
              <w:spacing w:before="240" w:after="240" w:line="2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Addressing the Attributes of Complex Engineering Activities</w:t>
            </w:r>
          </w:p>
        </w:tc>
      </w:tr>
      <w:tr w:rsidR="009C109E" w14:paraId="1C82ECFB" w14:textId="77777777" w:rsidTr="00C43D30">
        <w:tc>
          <w:tcPr>
            <w:tcW w:w="2195" w:type="dxa"/>
          </w:tcPr>
          <w:p w14:paraId="5092A2C8" w14:textId="7907A809" w:rsidR="009C109E" w:rsidRDefault="009C109E" w:rsidP="00C43D30">
            <w:pPr>
              <w:spacing w:before="240" w:after="24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of Resources</w:t>
            </w:r>
          </w:p>
        </w:tc>
        <w:tc>
          <w:tcPr>
            <w:tcW w:w="668" w:type="dxa"/>
          </w:tcPr>
          <w:p w14:paraId="247BAA2D" w14:textId="77777777" w:rsidR="009C109E" w:rsidRDefault="009C109E" w:rsidP="00C43D30">
            <w:pPr>
              <w:spacing w:before="240" w:after="24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6487" w:type="dxa"/>
          </w:tcPr>
          <w:p w14:paraId="373C39D2" w14:textId="0A4F27B4" w:rsidR="009C109E" w:rsidRDefault="009C109E" w:rsidP="00C43D30">
            <w:pPr>
              <w:spacing w:before="240" w:after="24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B5480D">
              <w:rPr>
                <w:rFonts w:ascii="Times New Roman" w:hAnsi="Times New Roman" w:cs="Times New Roman"/>
                <w:sz w:val="24"/>
                <w:szCs w:val="24"/>
              </w:rPr>
              <w:t xml:space="preserve">thesis work includes </w:t>
            </w:r>
            <w:r w:rsidR="00B5480D" w:rsidRPr="00B5480D">
              <w:rPr>
                <w:rFonts w:ascii="Times New Roman" w:hAnsi="Times New Roman" w:cs="Times New Roman"/>
                <w:sz w:val="24"/>
                <w:szCs w:val="24"/>
              </w:rPr>
              <w:t>various types of resources</w:t>
            </w:r>
            <w:r w:rsidR="00B5480D">
              <w:rPr>
                <w:rFonts w:ascii="Times New Roman" w:hAnsi="Times New Roman" w:cs="Times New Roman"/>
                <w:sz w:val="24"/>
                <w:szCs w:val="24"/>
              </w:rPr>
              <w:t xml:space="preserve"> such as Bangla corpus, language processing tool </w:t>
            </w:r>
            <w:r w:rsidR="00B5480D" w:rsidRPr="00B5480D">
              <w:rPr>
                <w:rFonts w:ascii="Times New Roman" w:hAnsi="Times New Roman" w:cs="Times New Roman"/>
                <w:sz w:val="24"/>
                <w:szCs w:val="24"/>
              </w:rPr>
              <w:t>tokenization, part-of-speech tagging</w:t>
            </w:r>
            <w:r w:rsidR="00B5480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5480D" w:rsidRPr="00B5480D">
              <w:rPr>
                <w:rFonts w:ascii="Times New Roman" w:hAnsi="Times New Roman" w:cs="Times New Roman"/>
                <w:sz w:val="24"/>
                <w:szCs w:val="24"/>
              </w:rPr>
              <w:t xml:space="preserve">These tools may include open-source NLP libraries like NLTK, </w:t>
            </w:r>
            <w:proofErr w:type="spellStart"/>
            <w:r w:rsidR="00B5480D" w:rsidRPr="00B5480D">
              <w:rPr>
                <w:rFonts w:ascii="Times New Roman" w:hAnsi="Times New Roman" w:cs="Times New Roman"/>
                <w:sz w:val="24"/>
                <w:szCs w:val="24"/>
              </w:rPr>
              <w:t>spaCy</w:t>
            </w:r>
            <w:proofErr w:type="spellEnd"/>
            <w:r w:rsidR="00B5480D" w:rsidRPr="00B548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5480D">
              <w:rPr>
                <w:rFonts w:ascii="Times New Roman" w:hAnsi="Times New Roman" w:cs="Times New Roman"/>
                <w:sz w:val="24"/>
                <w:szCs w:val="24"/>
              </w:rPr>
              <w:t xml:space="preserve"> BNLP for Bangla</w:t>
            </w:r>
            <w:r w:rsidR="00D0694B">
              <w:rPr>
                <w:rFonts w:ascii="Times New Roman" w:hAnsi="Times New Roman" w:cs="Times New Roman"/>
                <w:sz w:val="24"/>
                <w:szCs w:val="24"/>
              </w:rPr>
              <w:t>, Flask for user interface</w:t>
            </w:r>
            <w:r w:rsidR="00B548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9C109E" w14:paraId="2285CBDD" w14:textId="77777777" w:rsidTr="00C43D30">
        <w:tc>
          <w:tcPr>
            <w:tcW w:w="2195" w:type="dxa"/>
          </w:tcPr>
          <w:p w14:paraId="65CA1BCB" w14:textId="35C66C43" w:rsidR="009C109E" w:rsidRDefault="009C109E" w:rsidP="00C43D30">
            <w:pPr>
              <w:spacing w:before="240" w:after="24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Level of Interaction</w:t>
            </w:r>
          </w:p>
        </w:tc>
        <w:tc>
          <w:tcPr>
            <w:tcW w:w="668" w:type="dxa"/>
          </w:tcPr>
          <w:p w14:paraId="159926F2" w14:textId="77777777" w:rsidR="009C109E" w:rsidRDefault="009C109E" w:rsidP="00C43D30">
            <w:pPr>
              <w:spacing w:before="240" w:after="24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6487" w:type="dxa"/>
          </w:tcPr>
          <w:p w14:paraId="2F77D07B" w14:textId="2726238D" w:rsidR="009C109E" w:rsidRDefault="009C109E" w:rsidP="00C43D30">
            <w:pPr>
              <w:spacing w:before="240"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project involved interaction at multiple levels, including data curation from public repositories, engagement with machine learning libraries, and collaboration with medical professionals for validation of the results. The </w:t>
            </w:r>
            <w:r w:rsidR="00894EF3">
              <w:rPr>
                <w:rFonts w:ascii="Times New Roman" w:hAnsi="Times New Roman" w:cs="Times New Roman"/>
                <w:sz w:val="24"/>
                <w:szCs w:val="24"/>
              </w:rPr>
              <w:t>interdisciplinary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nature of the work required effective communication across different domains, from computer science to medical imaging.</w:t>
            </w:r>
          </w:p>
        </w:tc>
      </w:tr>
      <w:tr w:rsidR="009C109E" w14:paraId="2D49E7BE" w14:textId="77777777" w:rsidTr="00C43D30">
        <w:tc>
          <w:tcPr>
            <w:tcW w:w="2195" w:type="dxa"/>
          </w:tcPr>
          <w:p w14:paraId="01EA9436" w14:textId="18341E15" w:rsidR="009C109E" w:rsidRDefault="009C109E" w:rsidP="00C43D30">
            <w:pPr>
              <w:spacing w:before="240" w:after="24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Innovation</w:t>
            </w:r>
          </w:p>
        </w:tc>
        <w:tc>
          <w:tcPr>
            <w:tcW w:w="668" w:type="dxa"/>
          </w:tcPr>
          <w:p w14:paraId="1F449491" w14:textId="77777777" w:rsidR="009C109E" w:rsidRDefault="009C109E" w:rsidP="00C43D30">
            <w:pPr>
              <w:spacing w:before="240" w:after="24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6487" w:type="dxa"/>
          </w:tcPr>
          <w:p w14:paraId="250433F4" w14:textId="546CA21F" w:rsidR="009C109E" w:rsidRDefault="00D0694B" w:rsidP="00C43D30">
            <w:pPr>
              <w:spacing w:before="240" w:after="24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694B">
              <w:rPr>
                <w:rFonts w:ascii="Times New Roman" w:hAnsi="Times New Roman" w:cs="Times New Roman"/>
                <w:sz w:val="24"/>
                <w:szCs w:val="24"/>
              </w:rPr>
              <w:t>Developing methods for domain adaptation to improve parsing performance in specific domains or genres of Bangla text.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694B">
              <w:rPr>
                <w:rFonts w:ascii="Times New Roman" w:hAnsi="Times New Roman" w:cs="Times New Roman"/>
                <w:sz w:val="24"/>
                <w:szCs w:val="24"/>
              </w:rPr>
              <w:t>Introducing new evaluation metrics or benchmarks specific to Bangla dependency parsing to provide more fine-grained assessments of parsing performance.</w:t>
            </w:r>
          </w:p>
        </w:tc>
      </w:tr>
      <w:tr w:rsidR="009C109E" w14:paraId="710D9325" w14:textId="77777777" w:rsidTr="00C43D30">
        <w:tc>
          <w:tcPr>
            <w:tcW w:w="2195" w:type="dxa"/>
          </w:tcPr>
          <w:p w14:paraId="074C1E2C" w14:textId="2272DA02" w:rsidR="009C109E" w:rsidRDefault="009C109E" w:rsidP="00C43D30">
            <w:pPr>
              <w:spacing w:before="240" w:after="24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Consequences for Society and the Environment</w:t>
            </w:r>
          </w:p>
        </w:tc>
        <w:tc>
          <w:tcPr>
            <w:tcW w:w="668" w:type="dxa"/>
          </w:tcPr>
          <w:p w14:paraId="0E2E2FAA" w14:textId="77777777" w:rsidR="009C109E" w:rsidRDefault="009C109E" w:rsidP="00C43D30">
            <w:pPr>
              <w:spacing w:before="240" w:after="24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6487" w:type="dxa"/>
          </w:tcPr>
          <w:p w14:paraId="1CE750A5" w14:textId="4602CECE" w:rsidR="009C109E" w:rsidRDefault="00B5480D" w:rsidP="00C43D30">
            <w:pPr>
              <w:spacing w:before="240" w:after="24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work helps the Bangla language to be used globally, helps </w:t>
            </w:r>
            <w:r w:rsidR="00D0694B">
              <w:rPr>
                <w:rFonts w:ascii="Times New Roman" w:hAnsi="Times New Roman" w:cs="Times New Roman"/>
                <w:sz w:val="24"/>
                <w:szCs w:val="24"/>
              </w:rPr>
              <w:t>computers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work in Bangla, enriches Bangla resources</w:t>
            </w:r>
          </w:p>
        </w:tc>
      </w:tr>
      <w:tr w:rsidR="009C109E" w14:paraId="46E1B910" w14:textId="77777777" w:rsidTr="00C43D30">
        <w:tc>
          <w:tcPr>
            <w:tcW w:w="2195" w:type="dxa"/>
          </w:tcPr>
          <w:p w14:paraId="30D2DE0A" w14:textId="2B22320E" w:rsidR="009C109E" w:rsidRDefault="009C109E" w:rsidP="00C43D30">
            <w:pPr>
              <w:spacing w:before="240" w:after="24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Familiarity</w:t>
            </w:r>
          </w:p>
        </w:tc>
        <w:tc>
          <w:tcPr>
            <w:tcW w:w="668" w:type="dxa"/>
          </w:tcPr>
          <w:p w14:paraId="249CF92E" w14:textId="77777777" w:rsidR="009C109E" w:rsidRDefault="009C109E" w:rsidP="00C43D30">
            <w:pPr>
              <w:spacing w:before="240" w:after="24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A5</w:t>
            </w:r>
          </w:p>
        </w:tc>
        <w:tc>
          <w:tcPr>
            <w:tcW w:w="6487" w:type="dxa"/>
          </w:tcPr>
          <w:p w14:paraId="3510217E" w14:textId="713C4CA2" w:rsidR="009C109E" w:rsidRDefault="00D0694B" w:rsidP="00C43D30">
            <w:pPr>
              <w:spacing w:before="240" w:after="24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9C109E"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holds</w:t>
            </w:r>
            <w:r w:rsidR="009C10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9C109E">
              <w:rPr>
                <w:rFonts w:ascii="Times New Roman" w:hAnsi="Times New Roman" w:cs="Times New Roman"/>
                <w:sz w:val="24"/>
                <w:szCs w:val="24"/>
              </w:rPr>
              <w:t xml:space="preserve">well-established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modified Edmonds algorithm, edge-labeling methodology and introduces a new evaluation technique.</w:t>
            </w:r>
          </w:p>
        </w:tc>
      </w:tr>
    </w:tbl>
    <w:p w14:paraId="09CFC40A" w14:textId="518AB304" w:rsidR="009F43B1" w:rsidRPr="00A93D3D" w:rsidRDefault="009F43B1" w:rsidP="0084374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1028A2D" w14:textId="4D1FA89A" w:rsidR="003E724C" w:rsidRDefault="003E724C" w:rsidP="003E724C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EF54034" w14:textId="77777777" w:rsidR="003E724C" w:rsidRPr="003E724C" w:rsidRDefault="003E724C" w:rsidP="00A93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E724C" w:rsidRPr="003E724C" w:rsidSect="00F25A0C">
      <w:footerReference w:type="default" r:id="rId6"/>
      <w:pgSz w:w="12240" w:h="15840"/>
      <w:pgMar w:top="1440" w:right="1440" w:bottom="1440" w:left="1440" w:header="720" w:footer="720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C8BC4" w14:textId="77777777" w:rsidR="00FF50B8" w:rsidRDefault="00FF50B8" w:rsidP="00C510E6">
      <w:pPr>
        <w:spacing w:after="0" w:line="240" w:lineRule="auto"/>
      </w:pPr>
      <w:r>
        <w:separator/>
      </w:r>
    </w:p>
  </w:endnote>
  <w:endnote w:type="continuationSeparator" w:id="0">
    <w:p w14:paraId="06225504" w14:textId="77777777" w:rsidR="00FF50B8" w:rsidRDefault="00FF50B8" w:rsidP="00C5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2354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45B11" w14:textId="0E7F1497" w:rsidR="00F25A0C" w:rsidRDefault="00F25A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0A7D3E" w14:textId="77777777" w:rsidR="00C510E6" w:rsidRDefault="00C51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5ECE2" w14:textId="77777777" w:rsidR="00FF50B8" w:rsidRDefault="00FF50B8" w:rsidP="00C510E6">
      <w:pPr>
        <w:spacing w:after="0" w:line="240" w:lineRule="auto"/>
      </w:pPr>
      <w:r>
        <w:separator/>
      </w:r>
    </w:p>
  </w:footnote>
  <w:footnote w:type="continuationSeparator" w:id="0">
    <w:p w14:paraId="3B6AAD1E" w14:textId="77777777" w:rsidR="00FF50B8" w:rsidRDefault="00FF50B8" w:rsidP="00C51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B1"/>
    <w:rsid w:val="00042CD3"/>
    <w:rsid w:val="000766D2"/>
    <w:rsid w:val="00123D4B"/>
    <w:rsid w:val="002155E9"/>
    <w:rsid w:val="003208EA"/>
    <w:rsid w:val="00340B4D"/>
    <w:rsid w:val="00366157"/>
    <w:rsid w:val="003E724C"/>
    <w:rsid w:val="004A6B45"/>
    <w:rsid w:val="005B7724"/>
    <w:rsid w:val="00610A76"/>
    <w:rsid w:val="00762A34"/>
    <w:rsid w:val="007D06C3"/>
    <w:rsid w:val="00843749"/>
    <w:rsid w:val="00894EF3"/>
    <w:rsid w:val="008B647A"/>
    <w:rsid w:val="00960D10"/>
    <w:rsid w:val="009A504D"/>
    <w:rsid w:val="009B07E4"/>
    <w:rsid w:val="009C0677"/>
    <w:rsid w:val="009C109E"/>
    <w:rsid w:val="009F43B1"/>
    <w:rsid w:val="00A93D3D"/>
    <w:rsid w:val="00B5480D"/>
    <w:rsid w:val="00B54E9C"/>
    <w:rsid w:val="00C176E6"/>
    <w:rsid w:val="00C43D30"/>
    <w:rsid w:val="00C510E6"/>
    <w:rsid w:val="00CC0994"/>
    <w:rsid w:val="00D0694B"/>
    <w:rsid w:val="00D34A3F"/>
    <w:rsid w:val="00DE03AA"/>
    <w:rsid w:val="00DE34F3"/>
    <w:rsid w:val="00E6176E"/>
    <w:rsid w:val="00E97C76"/>
    <w:rsid w:val="00EA6BD5"/>
    <w:rsid w:val="00EB17AA"/>
    <w:rsid w:val="00F25A0C"/>
    <w:rsid w:val="00F37FFB"/>
    <w:rsid w:val="00FB5429"/>
    <w:rsid w:val="00F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B6B3B"/>
  <w15:chartTrackingRefBased/>
  <w15:docId w15:val="{90CF58B2-6700-480C-A2D8-3F789092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6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E6"/>
  </w:style>
  <w:style w:type="paragraph" w:styleId="Footer">
    <w:name w:val="footer"/>
    <w:basedOn w:val="Normal"/>
    <w:link w:val="FooterChar"/>
    <w:uiPriority w:val="99"/>
    <w:unhideWhenUsed/>
    <w:rsid w:val="00C51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E6"/>
  </w:style>
  <w:style w:type="table" w:styleId="TableGrid">
    <w:name w:val="Table Grid"/>
    <w:basedOn w:val="TableNormal"/>
    <w:uiPriority w:val="39"/>
    <w:rsid w:val="00CC0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10217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6534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5083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15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314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155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670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469</Words>
  <Characters>2989</Characters>
  <Application>Microsoft Office Word</Application>
  <DocSecurity>0</DocSecurity>
  <Lines>99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Mehbuba Jahan</dc:creator>
  <cp:keywords/>
  <dc:description/>
  <cp:lastModifiedBy>Admin</cp:lastModifiedBy>
  <cp:revision>17</cp:revision>
  <cp:lastPrinted>2024-02-23T19:43:00Z</cp:lastPrinted>
  <dcterms:created xsi:type="dcterms:W3CDTF">2024-02-17T17:21:00Z</dcterms:created>
  <dcterms:modified xsi:type="dcterms:W3CDTF">2024-02-23T19:44:00Z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40cab78a-e3c0-44ed-9293-bee44e8460bd</vt:lpwstr>
  </property>
</Properties>
</file>