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06489C61" w:rsidR="00D767D6" w:rsidRPr="00D767D6" w:rsidRDefault="00D767D6">
      <w:pPr>
        <w:rPr>
          <w:b/>
          <w:bCs/>
        </w:rPr>
      </w:pPr>
      <w:r w:rsidRPr="00D767D6">
        <w:rPr>
          <w:b/>
          <w:bCs/>
        </w:rPr>
        <w:t xml:space="preserve">Caution coupling </w:t>
      </w:r>
      <w:r w:rsidR="00836B82">
        <w:rPr>
          <w:b/>
          <w:bCs/>
        </w:rPr>
        <w:t>explains linear phase of</w:t>
      </w:r>
      <w:r w:rsidRPr="00D767D6">
        <w:rPr>
          <w:b/>
          <w:bCs/>
        </w:rPr>
        <w:t xml:space="preserve"> Covid-19 curves</w:t>
      </w:r>
    </w:p>
    <w:p w14:paraId="2E4B0553" w14:textId="0A0AF3DD" w:rsidR="00D767D6" w:rsidRDefault="00D767D6">
      <w:r>
        <w:t>John S. McCaskill</w:t>
      </w:r>
      <w:r w:rsidR="008C1006">
        <w:t xml:space="preserve"> and Norman H. Packard</w:t>
      </w:r>
    </w:p>
    <w:p w14:paraId="4A3C4AAC" w14:textId="22FC701B" w:rsidR="00D767D6" w:rsidRDefault="00D767D6">
      <w:r>
        <w:t>European Centre for Living Technology</w:t>
      </w:r>
      <w:r w:rsidR="00F95C6B">
        <w:t>, Venice, Italy</w:t>
      </w:r>
    </w:p>
    <w:p w14:paraId="0C8326F4" w14:textId="660C6C75" w:rsidR="002B1595" w:rsidRDefault="002B1595">
      <w:r>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43E29570" w14:textId="7AD29FBF" w:rsidR="00E626CB" w:rsidRDefault="009C03BC" w:rsidP="009C03BC">
      <w:pPr>
        <w:jc w:val="both"/>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suggested, using an SIR model, that a much larger portion of society may be infected than normally inferred from the testing data, which was biased to symptom carriers</w:t>
      </w:r>
      <w:r w:rsidR="00FC0501">
        <w:t>.</w:t>
      </w:r>
      <w:r>
        <w:t xml:space="preserve"> This was in-line with standard epidemiological modelling that relates the epidemic proliferation peak and subsequent decline to the advent of a significant fraction of the population becoming immune to the disease. </w:t>
      </w:r>
      <w:r w:rsidR="00E626CB">
        <w:t xml:space="preserve">Contemplating the </w:t>
      </w:r>
      <w:r w:rsidR="00CF1226">
        <w:t xml:space="preserve">early </w:t>
      </w:r>
      <w:r w:rsidR="00E626CB">
        <w:t>linear global data</w:t>
      </w:r>
      <w:r w:rsidR="00CF1226">
        <w:t xml:space="preserve">, </w:t>
      </w:r>
      <w:r w:rsidR="00E626CB">
        <w:t xml:space="preserve">see Fig. 1, the author was struck by the similarities with bacterial viral proliferation kinetics inside a single cell and in evolution experiments </w:t>
      </w:r>
      <w:r w:rsidR="00E626CB" w:rsidRPr="009B7339">
        <w:rPr>
          <w:i/>
          <w:iCs/>
        </w:rPr>
        <w:t>in vitro</w:t>
      </w:r>
      <w:r w:rsidR="00E626CB">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rsidR="00E626CB">
        <w:t>. The fundamental reason for this is specific resource limitation, for example of the Q</w:t>
      </w:r>
      <w:r w:rsidR="006978B2">
        <w:t xml:space="preserve">ß viral </w:t>
      </w:r>
      <w:r w:rsidR="00E626CB">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This is, like the nesting site limitation in bird populations, a straightforward thing: when most replicase enzymes are occupied in the copying 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 wondered if a </w:t>
      </w:r>
      <w:r w:rsidR="009B7339">
        <w:t>related</w:t>
      </w:r>
      <w:r w:rsidR="00591EE7">
        <w:t xml:space="preserve"> mechanism could account for the observed linear growth phase</w:t>
      </w:r>
      <w:r w:rsidR="00F51803">
        <w:t>s</w:t>
      </w:r>
      <w:r w:rsidR="00591EE7">
        <w:t xml:space="preserve"> for Covid-19 in societies shown in Fig. 1.</w:t>
      </w:r>
    </w:p>
    <w:p w14:paraId="2E9DE14F" w14:textId="79D96990" w:rsidR="009C70C1" w:rsidRDefault="009C70C1" w:rsidP="009C03BC">
      <w:pPr>
        <w:jc w:val="both"/>
      </w:pPr>
    </w:p>
    <w:p w14:paraId="24B3BFA9" w14:textId="3817D4C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xml:space="preserve">, the former acting unaffectedly and hence experiencing exposure to the </w:t>
      </w:r>
      <w:r w:rsidR="00B9464A">
        <w:lastRenderedPageBreak/>
        <w:t>virus at the initial rate, the latter exercising informed caution and hence reducing their exposure to the virus by a factor c</w:t>
      </w:r>
      <w:r w:rsidR="00B9464A" w:rsidRPr="00B9464A">
        <w:rPr>
          <w:vertAlign w:val="subscript"/>
        </w:rPr>
        <w:t>0</w:t>
      </w:r>
      <w:r w:rsidR="00B9464A">
        <w:t xml:space="preserve">&lt;1.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I in the </w:t>
      </w:r>
      <w:r w:rsidR="00D57DEA">
        <w:t>SIR model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012B20A9" w:rsidR="00B9464A" w:rsidRDefault="00D57DEA" w:rsidP="009C03BC">
      <w:pPr>
        <w:jc w:val="both"/>
      </w:pPr>
      <w:r>
        <w:t>To capture the response to this cautionary trigger</w:t>
      </w:r>
      <w:r w:rsidR="007238FC">
        <w:t>,</w:t>
      </w:r>
      <w:r>
        <w:t xml:space="preserve"> we </w:t>
      </w:r>
      <w:r w:rsidR="00760B56">
        <w:t xml:space="preserve">first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proportional to the product of their densities in the population (as in the law of mass action for chemical interactions), as well as a reverse transition from cautious individuals to individuals acting unaffectedly, proportional to the density 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this </w:t>
      </w:r>
      <w:r w:rsidR="00F639C0">
        <w:t>first approach</w:t>
      </w:r>
      <w:r w:rsidR="0024322C">
        <w:t xml:space="preserve">, </w:t>
      </w:r>
      <w:r w:rsidR="00895D36">
        <w:t xml:space="preserve">we do not distinguish between cautious and </w:t>
      </w:r>
      <w:r w:rsidR="00F639C0">
        <w:t>non-</w:t>
      </w:r>
      <w:r w:rsidR="00895D36">
        <w:t xml:space="preserve">cautious exposed or infected individuals I. </w:t>
      </w:r>
      <w:r w:rsidR="0024322C">
        <w:t>We have tested the impact of making this distinction 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r w:rsidR="00006C70">
        <w:t>Further model distinctions are analysed in the SI.</w:t>
      </w:r>
    </w:p>
    <w:p w14:paraId="6FC0F3C0" w14:textId="77777777" w:rsidR="00B9464A" w:rsidRDefault="00B9464A" w:rsidP="009C03BC">
      <w:pPr>
        <w:jc w:val="both"/>
      </w:pPr>
    </w:p>
    <w:p w14:paraId="187A821A" w14:textId="262AD4D2" w:rsidR="00D57DEA" w:rsidRDefault="00F639C0" w:rsidP="009C03BC">
      <w:pPr>
        <w:jc w:val="both"/>
        <w:rPr>
          <w:rFonts w:eastAsiaTheme="minorEastAsia"/>
        </w:rPr>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proofErr w:type="spellStart"/>
      <w:r w:rsidR="00760B56">
        <w:rPr>
          <w:rFonts w:eastAsiaTheme="minorEastAsia"/>
        </w:rPr>
        <w:t>endogeneous</w:t>
      </w:r>
      <w:proofErr w:type="spellEnd"/>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 amplified responses to reports of rising death tolls</w:t>
      </w:r>
      <w:r w:rsidR="001C76B6">
        <w:rPr>
          <w:rFonts w:eastAsiaTheme="minorEastAsia"/>
        </w:rPr>
        <w:t>, it is not essential to explain the observed long linear response phases.</w:t>
      </w:r>
      <w:r w:rsidR="009C6B94">
        <w:rPr>
          <w:rFonts w:eastAsiaTheme="minorEastAsia"/>
        </w:rPr>
        <w:t xml:space="preserve"> It is clear that human caution response is related to risk assessment and much more complex than our simple model </w:t>
      </w:r>
      <w:r w:rsidR="009C6B94">
        <w:rPr>
          <w:rFonts w:eastAsiaTheme="minorEastAsia"/>
        </w:rPr>
        <w:fldChar w:fldCharType="begin"/>
      </w:r>
      <w:r w:rsidR="009C6B94">
        <w:rPr>
          <w:rFonts w:eastAsiaTheme="minorEastAsia"/>
        </w:rPr>
        <w:instrText xml:space="preserve"> ADDIN EN.CITE &lt;EndNote&gt;&lt;Cite&gt;&lt;Author&gt;Richard Eiser&lt;/Author&gt;&lt;Year&gt;2012&lt;/Year&gt;&lt;RecNum&gt;29&lt;/RecNum&gt;&lt;DisplayText&gt;[27]&lt;/DisplayText&gt;&lt;record&gt;&lt;rec-number&gt;29&lt;/rec-number&gt;&lt;foreign-keys&gt;&lt;key app="EN" db-id="pdvdwdpxbt9rxiedr06pz929t2ed5fatxsar" timestamp="1597305978"&gt;29&lt;/key&gt;&lt;/foreign-keys&gt;&lt;ref-type name="Journal Article"&gt;17&lt;/ref-type&gt;&lt;contributors&gt;&lt;authors&gt;&lt;author&gt;Richard Eiser, J.&lt;/author&gt;&lt;author&gt;Bostrom, Ann&lt;/author&gt;&lt;author&gt;Burton, Ian&lt;/author&gt;&lt;author&gt;Johnston, David M.&lt;/author&gt;&lt;author&gt;McClure, John&lt;/author&gt;&lt;author&gt;Paton, Douglas&lt;/author&gt;&lt;author&gt;van der Pligt, Joop&lt;/author&gt;&lt;author&gt;White, Mathew P.&lt;/author&gt;&lt;/authors&gt;&lt;/contributors&gt;&lt;titles&gt;&lt;title&gt;Risk interpretation and action: A conceptual framework for responses to natural hazards&lt;/title&gt;&lt;secondary-title&gt;International Journal of Disaster Risk Reduction&lt;/secondary-title&gt;&lt;/titles&gt;&lt;periodical&gt;&lt;full-title&gt;International Journal of Disaster Risk Reduction&lt;/full-title&gt;&lt;/periodical&gt;&lt;pages&gt;5-16&lt;/pages&gt;&lt;volume&gt;1&lt;/volume&gt;&lt;keywords&gt;&lt;keyword&gt;Risk&lt;/keyword&gt;&lt;keyword&gt;Hazard&lt;/keyword&gt;&lt;keyword&gt;Interpretation&lt;/keyword&gt;&lt;keyword&gt;Decision&lt;/keyword&gt;&lt;keyword&gt;Trust&lt;/keyword&gt;&lt;/keywords&gt;&lt;dates&gt;&lt;year&gt;2012&lt;/year&gt;&lt;pub-dates&gt;&lt;date&gt;2012/10/01/&lt;/date&gt;&lt;/pub-dates&gt;&lt;/dates&gt;&lt;isbn&gt;2212-4209&lt;/isbn&gt;&lt;urls&gt;&lt;related-urls&gt;&lt;url&gt;http://www.sciencedirect.com/science/article/pii/S2212420912000040&lt;/url&gt;&lt;/related-urls&gt;&lt;/urls&gt;&lt;electronic-resource-num&gt;https://doi.org/10.1016/j.ijdrr.2012.05.002&lt;/electronic-resource-num&gt;&lt;/record&gt;&lt;/Cite&gt;&lt;/EndNote&gt;</w:instrText>
      </w:r>
      <w:r w:rsidR="009C6B94">
        <w:rPr>
          <w:rFonts w:eastAsiaTheme="minorEastAsia"/>
        </w:rPr>
        <w:fldChar w:fldCharType="separate"/>
      </w:r>
      <w:r w:rsidR="009C6B94">
        <w:rPr>
          <w:rFonts w:eastAsiaTheme="minorEastAsia"/>
          <w:noProof/>
        </w:rPr>
        <w:t>[27]</w:t>
      </w:r>
      <w:r w:rsidR="009C6B94">
        <w:rPr>
          <w:rFonts w:eastAsiaTheme="minorEastAsia"/>
        </w:rPr>
        <w:fldChar w:fldCharType="end"/>
      </w:r>
      <w:r w:rsidR="009C6B94">
        <w:rPr>
          <w:rFonts w:eastAsiaTheme="minorEastAsia"/>
        </w:rPr>
        <w:t xml:space="preserve">. We shall discuss this further below. </w:t>
      </w:r>
    </w:p>
    <w:p w14:paraId="65563213" w14:textId="36CC002F" w:rsidR="0004656E" w:rsidRDefault="0004656E" w:rsidP="009C03BC">
      <w:pPr>
        <w:jc w:val="both"/>
        <w:rPr>
          <w:rFonts w:eastAsiaTheme="minorEastAsia"/>
        </w:rPr>
      </w:pPr>
    </w:p>
    <w:p w14:paraId="767C3F4B" w14:textId="418B7473" w:rsidR="00B15680" w:rsidRDefault="0004656E" w:rsidP="0004656E">
      <w:pPr>
        <w:jc w:val="both"/>
      </w:pPr>
      <w:r>
        <w:t>The generic linear phases of growth for the cumulative confirmed cases are surveyed in data taken from Johns Hopkins University database, using a rolling average over 7 days to remove prominent weekly variations in reporting and some fluctuations, in Fig 1</w:t>
      </w:r>
      <w:r w:rsidR="00B15680">
        <w:t>A</w:t>
      </w:r>
      <w:r>
        <w:t xml:space="preserve"> for 7 major European countries (Italy, Spain, Germany, France, UK, and for comparison Sweden and Turkey) as well as for the 7 countries (US, Brazil, India, Russia, South Africa, Mexico, Peru) with the most cases (on Aug 1 2020)</w:t>
      </w:r>
      <w:r w:rsidR="00B15680">
        <w:t xml:space="preserve"> in Fig 1B</w:t>
      </w:r>
      <w:r>
        <w:t>. Despite the differences in detail, all the comparatively mature responses in Europe demonstrate an extended linear phase of growth</w:t>
      </w:r>
      <w:r w:rsidR="00B15680">
        <w:t>, which is markedly different from the herd immunity saturation common to the S(E)IR family of models.</w:t>
      </w:r>
      <w:r>
        <w:t xml:space="preserve"> </w:t>
      </w:r>
      <w:r w:rsidR="00B15680">
        <w:t xml:space="preserve">The saturation also takes place well before the percentage of infectives can cause any effective herd immunity. </w:t>
      </w:r>
      <w:r>
        <w:t xml:space="preserve">Although still in the pre-saturation phase for </w:t>
      </w:r>
      <w:r w:rsidR="001D3AEF">
        <w:t>some</w:t>
      </w:r>
      <w:r w:rsidR="00B15680">
        <w:t xml:space="preserve"> </w:t>
      </w:r>
      <w:r w:rsidR="001D3AEF">
        <w:t xml:space="preserve">(notably </w:t>
      </w:r>
      <w:r w:rsidR="00B15680">
        <w:t>India</w:t>
      </w:r>
      <w:r w:rsidR="001D3AEF">
        <w:t xml:space="preserve"> </w:t>
      </w:r>
      <w:r w:rsidR="001D3AEF">
        <w:lastRenderedPageBreak/>
        <w:t>and south Africa)</w:t>
      </w:r>
      <w:r>
        <w:t xml:space="preserve">, the </w:t>
      </w:r>
      <w:r w:rsidR="001D3AEF">
        <w:t>other</w:t>
      </w:r>
      <w:r>
        <w:t xml:space="preserve"> </w:t>
      </w:r>
      <w:r w:rsidR="00B15680">
        <w:t>largest Covid-19 epidemic</w:t>
      </w:r>
      <w:r>
        <w:t xml:space="preserve"> countries </w:t>
      </w:r>
      <w:r w:rsidR="001D3AEF">
        <w:t xml:space="preserve">in Fig. 1B </w:t>
      </w:r>
      <w:r w:rsidR="00B15680">
        <w:t>also demonstrate an extended linear saturation response (two such phases with differing degrees of caution regulation are visible in the US data).</w:t>
      </w:r>
      <w:r w:rsidR="001D3AEF">
        <w:t xml:space="preserve"> </w:t>
      </w:r>
    </w:p>
    <w:p w14:paraId="0BA0CB22" w14:textId="241A3606" w:rsidR="00760B56" w:rsidRDefault="00760B56" w:rsidP="009C03BC">
      <w:pPr>
        <w:jc w:val="both"/>
      </w:pPr>
    </w:p>
    <w:p w14:paraId="3B8D7BCE" w14:textId="3E9BB4DD" w:rsidR="00B81293" w:rsidRDefault="001C76B6" w:rsidP="009C03BC">
      <w:pPr>
        <w:jc w:val="both"/>
      </w:pPr>
      <w:r>
        <w:t xml:space="preserve">We </w:t>
      </w:r>
      <w:r w:rsidR="001D3AEF">
        <w:t>solved the ordinary differential equations of each model</w:t>
      </w:r>
      <w:r w:rsidR="000A5341">
        <w:t>,</w:t>
      </w:r>
      <w:r w:rsidR="00B81293">
        <w:t xml:space="preserve"> using the </w:t>
      </w:r>
      <w:r w:rsidR="000A5341">
        <w:t xml:space="preserve">python </w:t>
      </w:r>
      <w:r w:rsidR="00B81293">
        <w:t xml:space="preserve">modelling package </w:t>
      </w:r>
      <w:proofErr w:type="spellStart"/>
      <w:r w:rsidR="00B81293">
        <w:t>GomPy</w:t>
      </w:r>
      <w:proofErr w:type="spellEnd"/>
      <w:r w:rsidR="00B81293">
        <w:t xml:space="preserve"> (with its interface to SciPy)</w:t>
      </w:r>
      <w:r w:rsidR="000A5341">
        <w:t xml:space="preserve"> for convenience</w:t>
      </w:r>
      <w:r w:rsidR="00B81293">
        <w:t xml:space="preserve">. </w:t>
      </w:r>
      <w:r w:rsidR="00CE45E7">
        <w:t>Fig. 3 shows the range of epidemic responses in the number of daily cases for the caution extensions to the simple (SEIR) and hospital differentiated (SEI3R</w:t>
      </w:r>
      <w:r w:rsidR="00D30CA0">
        <w:t>)</w:t>
      </w:r>
      <w:r w:rsidR="00CE45E7">
        <w:t xml:space="preserve"> models </w:t>
      </w:r>
      <w:r w:rsidR="00B81293">
        <w:t xml:space="preserve">for representative variation of the three caution parameters about typical values. </w:t>
      </w:r>
      <w:r w:rsidR="00837C60">
        <w:t>Note that the second of the caution extensions (</w:t>
      </w:r>
      <w:r w:rsidR="00D30CA0">
        <w:t>S3EIR</w:t>
      </w:r>
      <w:r w:rsidR="00837C60">
        <w:t xml:space="preserve">columns 2 and 4), which includes caution for exposed and infected individuals, strengthens the caution response </w:t>
      </w:r>
      <w:proofErr w:type="gramStart"/>
      <w:r w:rsidR="00837C60">
        <w:t>and also</w:t>
      </w:r>
      <w:proofErr w:type="gramEnd"/>
      <w:r w:rsidR="00837C60">
        <w:t xml:space="preserve"> predicts strong second wave phenomena for some parameter values.</w:t>
      </w:r>
      <w:r w:rsidR="000A5341">
        <w:t xml:space="preserve"> T</w:t>
      </w:r>
      <w:r w:rsidR="00837C60">
        <w:t>he range of response forms appears to co</w:t>
      </w:r>
      <w:r w:rsidR="000A5341">
        <w:t xml:space="preserve">ver </w:t>
      </w:r>
      <w:proofErr w:type="gramStart"/>
      <w:r w:rsidR="00837C60">
        <w:t xml:space="preserve">the </w:t>
      </w:r>
      <w:r w:rsidR="000A5341">
        <w:t xml:space="preserve">majority </w:t>
      </w:r>
      <w:r w:rsidR="00837C60">
        <w:t>of</w:t>
      </w:r>
      <w:proofErr w:type="gramEnd"/>
      <w:r w:rsidR="00837C60">
        <w:t xml:space="preserve"> forms </w:t>
      </w:r>
      <w:r w:rsidR="000A5341">
        <w:t>seen for 194 countries in the JHU data. Note that in Fig. 3, showing daily not cumulative cases as in Fig. 1, the linear phase of growth corresponds to constant daily cases.</w:t>
      </w:r>
    </w:p>
    <w:p w14:paraId="737AAA14" w14:textId="3B5548E3" w:rsidR="000A5341" w:rsidRDefault="000A5341" w:rsidP="009C03BC">
      <w:pPr>
        <w:jc w:val="both"/>
      </w:pPr>
    </w:p>
    <w:p w14:paraId="514D6AD6" w14:textId="196A40D9" w:rsidR="00707395" w:rsidRDefault="000A5341" w:rsidP="009C03BC">
      <w:pPr>
        <w:jc w:val="both"/>
      </w:pPr>
      <w:r>
        <w:t xml:space="preserve">An example of fitting the caution model to the data for Germany (confirmed, recovered and deaths) by varying the three parameters affecting the cautionary response (as well as the </w:t>
      </w:r>
      <w:r w:rsidR="00707395">
        <w:t>starting point of the infection</w:t>
      </w:r>
      <w:r>
        <w:t>)</w:t>
      </w:r>
      <w:r w:rsidR="00707395">
        <w:t xml:space="preserve"> is shown in Fig. 4. [We plan to extend this figure to include three other countries with different shaped responses.] Note that this fit was achieved with simple manual adjustment</w:t>
      </w:r>
      <w:r w:rsidR="00006C70">
        <w:t>,</w:t>
      </w:r>
      <w:r w:rsidR="00707395">
        <w:t xml:space="preserve"> without </w:t>
      </w:r>
      <w:proofErr w:type="gramStart"/>
      <w:r w:rsidR="00707395">
        <w:t>taking into account</w:t>
      </w:r>
      <w:proofErr w:type="gramEnd"/>
      <w:r w:rsidR="00707395">
        <w:t xml:space="preserve"> various complications in the data: the increase in testing which leads to an increasing percentage of cases being confirmed, delays in registration of statistics, geographic and age structuring of infection etc. It is not the purpose of this paper to generate more accurate fitted models taking </w:t>
      </w:r>
      <w:proofErr w:type="gramStart"/>
      <w:r w:rsidR="00707395">
        <w:t>all of</w:t>
      </w:r>
      <w:proofErr w:type="gramEnd"/>
      <w:r w:rsidR="00707395">
        <w:t xml:space="preserve"> these complications into account. Rather, we wish the reader to share the insight that the seeming complexity of the societal response to the Covid-19 pandemic can actually be better understood as belonging to a single simple phenomenon that distinguishes the Covid-19 pandemic from earlier </w:t>
      </w:r>
      <w:r w:rsidR="00006C70">
        <w:t>epidemics : the ubiquitous internet mediated feedback of daily data collection inspiring a social distancing cautionary response in the population. A preliminary scan of the cumulative deaths in all monitored countries (JHU data) is shown in the supplementary material (together with simple fits from the cautionary model). Note that while the deaths data is deemed more reliable, since it is less dependent on incomplete Covid-19 testing, fitting just one quantity is less stringent than the example shown in Fig. 4, involving all three c</w:t>
      </w:r>
      <w:r w:rsidR="00205CEC">
        <w:t>ur</w:t>
      </w:r>
      <w:r w:rsidR="00006C70">
        <w:t>ves (confirmed, recovered and deaths).</w:t>
      </w:r>
    </w:p>
    <w:p w14:paraId="6ABB5B88" w14:textId="39FCA5B8" w:rsidR="00EC0319" w:rsidRDefault="000A5341" w:rsidP="009C03BC">
      <w:pPr>
        <w:jc w:val="both"/>
      </w:pPr>
      <w:r>
        <w:t xml:space="preserve"> </w:t>
      </w:r>
    </w:p>
    <w:p w14:paraId="2F700505" w14:textId="03AEA9FF" w:rsidR="00205CEC" w:rsidRDefault="009C70C1" w:rsidP="004707EC">
      <w:pPr>
        <w:jc w:val="both"/>
      </w:pPr>
      <w:r>
        <w:t xml:space="preserve">This phenomenom is not restricted to </w:t>
      </w:r>
      <w:r w:rsidR="00006C70">
        <w:t xml:space="preserve">European, </w:t>
      </w:r>
      <w:r>
        <w:t xml:space="preserve">US </w:t>
      </w:r>
      <w:r w:rsidR="00006C70">
        <w:t>and</w:t>
      </w:r>
      <w:r>
        <w:t xml:space="preserve">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xml:space="preserve">, </w:t>
      </w:r>
      <w:r w:rsidR="00006C70">
        <w:t xml:space="preserve">which as predicted by our model is non-zero, </w:t>
      </w:r>
      <w:r w:rsidR="00E626CB">
        <w:t>the more generic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w:t>
      </w:r>
      <w:r w:rsidR="002E6E35">
        <w:t xml:space="preserve">higher but also </w:t>
      </w:r>
      <w:r w:rsidR="00FF4300">
        <w:t xml:space="preserve">relatively constant </w:t>
      </w:r>
      <w:r w:rsidR="006465EE">
        <w:t xml:space="preserve">rate of growth, </w:t>
      </w:r>
      <w:r w:rsidR="00EC0319">
        <w:t xml:space="preserve">often with 100s or 1000s of cases per day, </w:t>
      </w:r>
      <w:r w:rsidR="006465EE">
        <w:t>in some cases after an initial overshoot.</w:t>
      </w:r>
      <w:r w:rsidR="00EC0319">
        <w:t xml:space="preserve"> </w:t>
      </w:r>
      <w:r w:rsidR="00006C70">
        <w:t xml:space="preserve"> Th</w:t>
      </w:r>
      <w:r w:rsidR="00205CEC">
        <w:t>e explanatory power of our models is apparent in routinely replacing the generic feature of the SIR family of models – a</w:t>
      </w:r>
      <w:r w:rsidR="002E6E35">
        <w:t xml:space="preserve"> daily</w:t>
      </w:r>
      <w:r w:rsidR="00205CEC">
        <w:t xml:space="preserve"> infection peak following an exponential growth phase as limited by herd immunity – by a</w:t>
      </w:r>
      <w:r w:rsidR="002E6E35">
        <w:t xml:space="preserve"> daily</w:t>
      </w:r>
      <w:r w:rsidR="00205CEC">
        <w:t xml:space="preserve"> infection peak at orders of magnitude lower infection numbers, not related to herd immunity, and </w:t>
      </w:r>
      <w:r w:rsidR="002E6E35">
        <w:t xml:space="preserve">one </w:t>
      </w:r>
      <w:r w:rsidR="00205CEC">
        <w:t>having a long often flat tail which does not involve exponential decay of the number of infections</w:t>
      </w:r>
      <w:r w:rsidR="002E6E35">
        <w:t>, matching the typical responses observed for Covid-19.</w:t>
      </w:r>
      <w:r w:rsidR="00205CEC">
        <w:t xml:space="preserve"> </w:t>
      </w:r>
      <w:r w:rsidR="002E6E35">
        <w:t xml:space="preserve">It is important to stress that while the cautionary response can predict an extended linear growth phase in the cumulative response (constant </w:t>
      </w:r>
      <w:r w:rsidR="002E6E35">
        <w:lastRenderedPageBreak/>
        <w:t xml:space="preserve">in the daily response), </w:t>
      </w:r>
      <w:r w:rsidR="00E76A30">
        <w:t xml:space="preserve">which was observed accurately over two months for example in the USA response, and longer in the Russian response, it </w:t>
      </w:r>
      <w:r w:rsidR="002E6E35">
        <w:t>does not do so for all parameters</w:t>
      </w:r>
      <w:r w:rsidR="00E76A30">
        <w:t xml:space="preserve"> as seen clearly in Fig. 3. The shape of departures from constant daily responses seem also to correspond to those of real data. Further work is required to tease out these relations, exploiting the arsenal of world modelling techniques and data corrections required to deal with all the special cases of geographic, political and social circumstance.</w:t>
      </w:r>
    </w:p>
    <w:p w14:paraId="5AC6B474" w14:textId="77777777" w:rsidR="004707EC" w:rsidRDefault="004707EC"/>
    <w:p w14:paraId="29F4E2B2" w14:textId="6AE8D0C9"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w:t>
      </w:r>
      <w:r w:rsidR="002E6E35">
        <w:t xml:space="preserve"> Italy</w:t>
      </w:r>
      <w:r w:rsidR="007D1E71">
        <w:t>,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204E19AD"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r w:rsidR="00E76A30">
        <w:t xml:space="preserve"> This response is no guarantee for containment with both model and recent data showing second waves of infection.</w:t>
      </w:r>
    </w:p>
    <w:p w14:paraId="6F3BB519" w14:textId="609F6336" w:rsidR="00E76A30" w:rsidRDefault="00E76A30" w:rsidP="007D1E71">
      <w:pPr>
        <w:jc w:val="both"/>
      </w:pPr>
    </w:p>
    <w:p w14:paraId="5DADF471" w14:textId="4A9E5EA7" w:rsidR="00E76A30" w:rsidRDefault="00E76A30" w:rsidP="007D1E71">
      <w:pPr>
        <w:jc w:val="both"/>
      </w:pPr>
      <w:r>
        <w:t>Perhaps it will be possible for the human population to modulate its cautionary response using widespread information about the negative repercussions of the relaxation of caution. It is the authors view however that until a viable vaccine is found, additional work needs to be undertaken to enable the population to maintain the same benefits of high levels of caution but transferred to socially acceptable habits and routines that can have a longer lifetime than permitted by the media-supported awareness and focus generated by calamitous deaths in the population.</w:t>
      </w:r>
    </w:p>
    <w:p w14:paraId="38A2174B" w14:textId="3D645DEE" w:rsidR="00E76A30" w:rsidRDefault="00E76A30" w:rsidP="007D1E71">
      <w:pPr>
        <w:jc w:val="both"/>
      </w:pPr>
    </w:p>
    <w:p w14:paraId="4E744A74" w14:textId="0DA9B9BA" w:rsidR="00E76A30" w:rsidRPr="00CB4CC3" w:rsidRDefault="00E76A30" w:rsidP="007D1E71">
      <w:pPr>
        <w:jc w:val="both"/>
        <w:rPr>
          <w:i/>
          <w:iCs/>
        </w:rPr>
      </w:pPr>
      <w:r w:rsidRPr="00CB4CC3">
        <w:rPr>
          <w:i/>
          <w:iCs/>
        </w:rPr>
        <w:t>Acknowledgements:</w:t>
      </w:r>
    </w:p>
    <w:p w14:paraId="4346BDA2" w14:textId="0BE5B803" w:rsidR="00E76A30" w:rsidRDefault="00E76A30" w:rsidP="007D1E71">
      <w:pPr>
        <w:jc w:val="both"/>
      </w:pPr>
    </w:p>
    <w:p w14:paraId="06D0FB7F" w14:textId="75120AA7" w:rsidR="00E76A30" w:rsidRDefault="00E76A30" w:rsidP="007D1E71">
      <w:pPr>
        <w:jc w:val="both"/>
      </w:pPr>
      <w:r>
        <w:t xml:space="preserve">The authors wish to acknowledge the support </w:t>
      </w:r>
      <w:r w:rsidR="00CB4CC3">
        <w:t xml:space="preserve">of the European Centre for Living Technology, and the access to Covid-19 data compiled by Johns Hopkins University and …. The authors </w:t>
      </w:r>
      <w:r w:rsidR="00CB4CC3">
        <w:lastRenderedPageBreak/>
        <w:t xml:space="preserve">wish to thank those authors who made their modelling software examples available on </w:t>
      </w:r>
      <w:proofErr w:type="spellStart"/>
      <w:r w:rsidR="00CB4CC3">
        <w:t>github</w:t>
      </w:r>
      <w:proofErr w:type="spellEnd"/>
      <w:proofErr w:type="gramStart"/>
      <w:r w:rsidR="00CB4CC3">
        <w:t>, in particular, Dr. Alison</w:t>
      </w:r>
      <w:proofErr w:type="gramEnd"/>
      <w:r w:rsidR="00CB4CC3">
        <w:t xml:space="preserve"> and the authors of the </w:t>
      </w:r>
      <w:proofErr w:type="spellStart"/>
      <w:r w:rsidR="00CB4CC3">
        <w:t>GomPy</w:t>
      </w:r>
      <w:proofErr w:type="spellEnd"/>
      <w:r w:rsidR="00CB4CC3">
        <w:t xml:space="preserve"> package for conveniently assembling a modelling framework that allows also a ready extension to stochastic modelling (not employed in this paper). </w:t>
      </w:r>
    </w:p>
    <w:p w14:paraId="38A4A29F" w14:textId="3FE66F64" w:rsidR="0011114A" w:rsidRDefault="0011114A"/>
    <w:p w14:paraId="7AE9007D" w14:textId="77777777" w:rsidR="001508F4" w:rsidRDefault="001508F4">
      <w:pPr>
        <w:rPr>
          <w:b/>
          <w:bCs/>
        </w:rPr>
      </w:pPr>
      <w:r>
        <w:rPr>
          <w:b/>
          <w:bCs/>
        </w:rPr>
        <w:br w:type="page"/>
      </w:r>
    </w:p>
    <w:p w14:paraId="58C6A05A" w14:textId="1E79BA24"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E029E4" w:rsidRDefault="00E029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E029E4" w:rsidRDefault="00E029E4"/>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E144E50" wp14:editId="0CE4BAD7">
                <wp:simplePos x="0" y="0"/>
                <wp:positionH relativeFrom="column">
                  <wp:posOffset>-14259</wp:posOffset>
                </wp:positionH>
                <wp:positionV relativeFrom="paragraph">
                  <wp:posOffset>152400</wp:posOffset>
                </wp:positionV>
                <wp:extent cx="276860" cy="31369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6860" cy="313690"/>
                        </a:xfrm>
                        <a:prstGeom prst="rect">
                          <a:avLst/>
                        </a:prstGeom>
                        <a:noFill/>
                        <a:ln w="6350">
                          <a:noFill/>
                        </a:ln>
                      </wps:spPr>
                      <wps:txbx>
                        <w:txbxContent>
                          <w:p w14:paraId="0B1461F1" w14:textId="7D7E31A4" w:rsidR="00E029E4" w:rsidRDefault="00E029E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144E50" id="Text Box 16" o:spid="_x0000_s1027" type="#_x0000_t202" style="position:absolute;margin-left:-1.1pt;margin-top:12pt;width:21.8pt;height:2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" filled="f" stroked="f" strokeweight=".5pt">
                <v:textbox>
                  <w:txbxContent>
                    <w:p w14:paraId="0B1461F1" w14:textId="7D7E31A4" w:rsidR="00E029E4" w:rsidRDefault="00E029E4">
                      <w:r>
                        <w:t>A</w:t>
                      </w:r>
                    </w:p>
                  </w:txbxContent>
                </v:textbox>
              </v:shape>
            </w:pict>
          </mc:Fallback>
        </mc:AlternateContent>
      </w:r>
      <w:r w:rsidR="00D5526F" w:rsidRPr="000702F7">
        <w:rPr>
          <w:b/>
          <w:bCs/>
        </w:rPr>
        <w:t>Figures</w:t>
      </w:r>
    </w:p>
    <w:p w14:paraId="452442B6" w14:textId="3EE6AF0D" w:rsidR="00F63C94" w:rsidRDefault="00002DF1">
      <w:r>
        <w:rPr>
          <w:b/>
          <w:bCs/>
          <w:noProof/>
        </w:rPr>
        <mc:AlternateContent>
          <mc:Choice Requires="wps">
            <w:drawing>
              <wp:anchor distT="0" distB="0" distL="114300" distR="114300" simplePos="0" relativeHeight="251665408" behindDoc="0" locked="0" layoutInCell="1" allowOverlap="1" wp14:anchorId="5E0D0CD5" wp14:editId="57901961">
                <wp:simplePos x="0" y="0"/>
                <wp:positionH relativeFrom="column">
                  <wp:posOffset>2294890</wp:posOffset>
                </wp:positionH>
                <wp:positionV relativeFrom="paragraph">
                  <wp:posOffset>2865466</wp:posOffset>
                </wp:positionV>
                <wp:extent cx="1357746" cy="221673"/>
                <wp:effectExtent l="0" t="0" r="1270" b="0"/>
                <wp:wrapNone/>
                <wp:docPr id="19" name="Text Box 19"/>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7D361BB4" w14:textId="77777777" w:rsidR="00E029E4" w:rsidRDefault="00E029E4" w:rsidP="00002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0D0CD5" id="Text Box 19" o:spid="_x0000_s1028" type="#_x0000_t202" style="position:absolute;margin-left:180.7pt;margin-top:225.65pt;width:106.9pt;height:17.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" fillcolor="white [3212]" stroked="f" strokeweight=".5pt">
                <v:textbox>
                  <w:txbxContent>
                    <w:p w14:paraId="7D361BB4" w14:textId="77777777" w:rsidR="00E029E4" w:rsidRDefault="00E029E4" w:rsidP="00002DF1"/>
                  </w:txbxContent>
                </v:textbox>
              </v:shape>
            </w:pict>
          </mc:Fallback>
        </mc:AlternateContent>
      </w:r>
      <w:r>
        <w:rPr>
          <w:b/>
          <w:bCs/>
          <w:noProof/>
        </w:rPr>
        <mc:AlternateContent>
          <mc:Choice Requires="wps">
            <w:drawing>
              <wp:anchor distT="0" distB="0" distL="114300" distR="114300" simplePos="0" relativeHeight="251661312" behindDoc="0" locked="0" layoutInCell="1" allowOverlap="1" wp14:anchorId="106C37B5" wp14:editId="7C8F2D19">
                <wp:simplePos x="0" y="0"/>
                <wp:positionH relativeFrom="column">
                  <wp:posOffset>-45374</wp:posOffset>
                </wp:positionH>
                <wp:positionV relativeFrom="paragraph">
                  <wp:posOffset>2842895</wp:posOffset>
                </wp:positionV>
                <wp:extent cx="276860" cy="2952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76860" cy="295275"/>
                        </a:xfrm>
                        <a:prstGeom prst="rect">
                          <a:avLst/>
                        </a:prstGeom>
                        <a:noFill/>
                        <a:ln w="6350">
                          <a:noFill/>
                        </a:ln>
                      </wps:spPr>
                      <wps:txbx>
                        <w:txbxContent>
                          <w:p w14:paraId="7FDD178F" w14:textId="6C961A06" w:rsidR="00E029E4" w:rsidRDefault="00E029E4" w:rsidP="00275BB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C37B5" id="Text Box 17" o:spid="_x0000_s1029" type="#_x0000_t202" style="position:absolute;margin-left:-3.55pt;margin-top:223.85pt;width:21.8pt;height:2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" filled="f" stroked="f" strokeweight=".5pt">
                <v:textbox>
                  <w:txbxContent>
                    <w:p w14:paraId="7FDD178F" w14:textId="6C961A06" w:rsidR="00E029E4" w:rsidRDefault="00E029E4" w:rsidP="00275BBB">
                      <w:r>
                        <w:t>B</w:t>
                      </w:r>
                    </w:p>
                  </w:txbxContent>
                </v:textbox>
              </v:shape>
            </w:pict>
          </mc:Fallback>
        </mc:AlternateContent>
      </w:r>
      <w:r>
        <w:rPr>
          <w:noProof/>
        </w:rPr>
        <w:drawing>
          <wp:anchor distT="0" distB="0" distL="114300" distR="114300" simplePos="0" relativeHeight="251662336" behindDoc="0" locked="0" layoutInCell="1" allowOverlap="0" wp14:anchorId="7F713AE2" wp14:editId="521F0023">
            <wp:simplePos x="0" y="0"/>
            <wp:positionH relativeFrom="column">
              <wp:posOffset>128559</wp:posOffset>
            </wp:positionH>
            <wp:positionV relativeFrom="paragraph">
              <wp:posOffset>2964180</wp:posOffset>
            </wp:positionV>
            <wp:extent cx="5633720" cy="3009265"/>
            <wp:effectExtent l="0" t="0" r="5080" b="63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33720" cy="3009265"/>
                    </a:xfrm>
                    <a:prstGeom prst="rect">
                      <a:avLst/>
                    </a:prstGeom>
                  </pic:spPr>
                </pic:pic>
              </a:graphicData>
            </a:graphic>
            <wp14:sizeRelH relativeFrom="margin">
              <wp14:pctWidth>0</wp14:pctWidth>
            </wp14:sizeRelH>
            <wp14:sizeRelV relativeFrom="margin">
              <wp14:pctHeight>0</wp14:pctHeight>
            </wp14:sizeRelV>
          </wp:anchor>
        </w:drawing>
      </w:r>
      <w:r w:rsidR="00B05583">
        <w:rPr>
          <w:noProof/>
        </w:rPr>
        <w:drawing>
          <wp:inline distT="0" distB="0" distL="0" distR="0" wp14:anchorId="4BA71648" wp14:editId="4260CF65">
            <wp:extent cx="5727700" cy="296418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964180"/>
                    </a:xfrm>
                    <a:prstGeom prst="rect">
                      <a:avLst/>
                    </a:prstGeom>
                  </pic:spPr>
                </pic:pic>
              </a:graphicData>
            </a:graphic>
          </wp:inline>
        </w:drawing>
      </w:r>
    </w:p>
    <w:p w14:paraId="52977A35" w14:textId="00FFDEE6" w:rsidR="00831BED" w:rsidRDefault="00831BED" w:rsidP="00130C34">
      <w:pPr>
        <w:ind w:firstLine="142"/>
      </w:pPr>
    </w:p>
    <w:p w14:paraId="67CD7442" w14:textId="29234AEB" w:rsidR="00831BED" w:rsidRDefault="00D5526F" w:rsidP="00B05583">
      <w:pPr>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r w:rsidR="00B05583">
        <w:rPr>
          <w:sz w:val="22"/>
          <w:szCs w:val="22"/>
        </w:rPr>
        <w:t xml:space="preserve"> </w:t>
      </w:r>
      <w:r w:rsidR="00130C34" w:rsidRPr="00275BBB">
        <w:rPr>
          <w:b/>
          <w:bCs/>
          <w:sz w:val="22"/>
          <w:szCs w:val="22"/>
        </w:rPr>
        <w:t>B)</w:t>
      </w:r>
      <w:r w:rsidR="00130C34">
        <w:rPr>
          <w:sz w:val="22"/>
          <w:szCs w:val="22"/>
        </w:rPr>
        <w:t xml:space="preserve"> Same for </w:t>
      </w:r>
      <w:r w:rsidR="00F51803">
        <w:rPr>
          <w:sz w:val="22"/>
          <w:szCs w:val="22"/>
        </w:rPr>
        <w:t xml:space="preserve">seven </w:t>
      </w:r>
      <w:r w:rsidR="00130C34">
        <w:rPr>
          <w:sz w:val="22"/>
          <w:szCs w:val="22"/>
        </w:rPr>
        <w:t xml:space="preserve">countries with largest population epidemics in the world for Covid-19 as of Aug </w:t>
      </w:r>
      <w:proofErr w:type="gramStart"/>
      <w:r w:rsidR="00130C34">
        <w:rPr>
          <w:sz w:val="22"/>
          <w:szCs w:val="22"/>
        </w:rPr>
        <w:t>1</w:t>
      </w:r>
      <w:proofErr w:type="gramEnd"/>
      <w:r w:rsidR="00130C34">
        <w:rPr>
          <w:sz w:val="22"/>
          <w:szCs w:val="22"/>
        </w:rPr>
        <w:t xml:space="preserve"> 2020. </w:t>
      </w:r>
      <w:r w:rsidR="00F51803">
        <w:rPr>
          <w:sz w:val="22"/>
          <w:szCs w:val="22"/>
        </w:rPr>
        <w:t>The</w:t>
      </w:r>
      <w:r w:rsidR="00130C34">
        <w:rPr>
          <w:sz w:val="22"/>
          <w:szCs w:val="22"/>
        </w:rPr>
        <w:t xml:space="preserve"> US</w:t>
      </w:r>
      <w:r w:rsidR="00F51803">
        <w:rPr>
          <w:sz w:val="22"/>
          <w:szCs w:val="22"/>
        </w:rPr>
        <w:t>A</w:t>
      </w:r>
      <w:r w:rsidR="00130C34">
        <w:rPr>
          <w:sz w:val="22"/>
          <w:szCs w:val="22"/>
        </w:rPr>
        <w:t xml:space="preserve"> and Brazil have not had a consistent or effective communication of information about the disease, but the response is still effectively piecewise linear as expected from the cautionary model, like the </w:t>
      </w:r>
      <w:r w:rsidR="00F51803">
        <w:rPr>
          <w:sz w:val="22"/>
          <w:szCs w:val="22"/>
        </w:rPr>
        <w:t xml:space="preserve">more dampening </w:t>
      </w:r>
      <w:r w:rsidR="00130C34">
        <w:rPr>
          <w:sz w:val="22"/>
          <w:szCs w:val="22"/>
        </w:rPr>
        <w:t>Russian response.</w:t>
      </w:r>
      <w:r w:rsidR="00CA3B20">
        <w:rPr>
          <w:sz w:val="22"/>
          <w:szCs w:val="22"/>
        </w:rPr>
        <w:t xml:space="preserve"> </w:t>
      </w:r>
      <w:r w:rsidR="00B05583">
        <w:rPr>
          <w:sz w:val="22"/>
          <w:szCs w:val="22"/>
        </w:rPr>
        <w:t>Data is taken from John Hopkins University compilation and averaged over last 7 days to remove weekly oscillations in reporting</w:t>
      </w:r>
      <w:r w:rsidR="00F51803">
        <w:rPr>
          <w:sz w:val="22"/>
          <w:szCs w:val="22"/>
        </w:rPr>
        <w:t xml:space="preserve">. </w:t>
      </w:r>
      <w:r w:rsidR="00B05583">
        <w:rPr>
          <w:sz w:val="22"/>
          <w:szCs w:val="22"/>
        </w:rPr>
        <w:t>The data is fitted with a simple 3-segment piecewise linear fit.</w:t>
      </w:r>
      <w:r w:rsidR="00831BED">
        <w:rPr>
          <w:sz w:val="22"/>
          <w:szCs w:val="22"/>
        </w:rPr>
        <w:t xml:space="preserve"> Note that second waves of infection, affecting Spain</w:t>
      </w:r>
      <w:r w:rsidR="00F51803">
        <w:rPr>
          <w:sz w:val="22"/>
          <w:szCs w:val="22"/>
        </w:rPr>
        <w:t xml:space="preserve"> </w:t>
      </w:r>
      <w:r w:rsidR="00831BED">
        <w:rPr>
          <w:sz w:val="22"/>
          <w:szCs w:val="22"/>
        </w:rPr>
        <w:t xml:space="preserve">in </w:t>
      </w:r>
      <w:r w:rsidR="00F51803">
        <w:rPr>
          <w:sz w:val="22"/>
          <w:szCs w:val="22"/>
        </w:rPr>
        <w:t>A</w:t>
      </w:r>
      <w:r w:rsidR="00831BED">
        <w:rPr>
          <w:sz w:val="22"/>
          <w:szCs w:val="22"/>
        </w:rPr>
        <w:t>, and to a lesser extent France and Germany, which depart from linearity, are also predicted in the more differentiated SC3EI3R version of the cautionary model.</w:t>
      </w:r>
    </w:p>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5CC9A96C"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 xml:space="preserve">The two standard epidemic models SIR and SEIR are extended in the simplest way to self-regulating models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S and S</w:t>
      </w:r>
      <w:r w:rsidR="00FB389E" w:rsidRPr="00FB389E">
        <w:rPr>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a next step, the exposed E and infected individuals I can also be distinguished by caution (see SI Fig S1) in SC2IR and SC3EIR models.</w:t>
      </w:r>
      <w:r w:rsidR="00002DF1">
        <w:rPr>
          <w:sz w:val="22"/>
          <w:szCs w:val="22"/>
        </w:rPr>
        <w:t xml:space="preserve"> Likewise, more differentiated standard models like the SEI3R model, with three stages of infected individuals (I</w:t>
      </w:r>
      <w:r w:rsidR="00002DF1" w:rsidRPr="00002DF1">
        <w:rPr>
          <w:sz w:val="22"/>
          <w:szCs w:val="22"/>
          <w:vertAlign w:val="subscript"/>
        </w:rPr>
        <w:t>1</w:t>
      </w:r>
      <w:r w:rsidR="00002DF1">
        <w:rPr>
          <w:sz w:val="22"/>
          <w:szCs w:val="22"/>
        </w:rPr>
        <w:t xml:space="preserve"> non-hospitalized, I</w:t>
      </w:r>
      <w:r w:rsidR="00002DF1" w:rsidRPr="00002DF1">
        <w:rPr>
          <w:sz w:val="22"/>
          <w:szCs w:val="22"/>
          <w:vertAlign w:val="subscript"/>
        </w:rPr>
        <w:t>2</w:t>
      </w:r>
      <w:r w:rsidR="00002DF1">
        <w:rPr>
          <w:sz w:val="22"/>
          <w:szCs w:val="22"/>
        </w:rPr>
        <w:t xml:space="preserve"> hospitalized and I</w:t>
      </w:r>
      <w:r w:rsidR="00002DF1" w:rsidRPr="00002DF1">
        <w:rPr>
          <w:sz w:val="22"/>
          <w:szCs w:val="22"/>
          <w:vertAlign w:val="subscript"/>
        </w:rPr>
        <w:t>3</w:t>
      </w:r>
      <w:r w:rsidR="00002DF1">
        <w:rPr>
          <w:sz w:val="22"/>
          <w:szCs w:val="22"/>
        </w:rPr>
        <w:t xml:space="preserve"> critical care) can be extended to cautionary feedback via I</w:t>
      </w:r>
      <w:r w:rsidR="00002DF1" w:rsidRPr="00002DF1">
        <w:rPr>
          <w:sz w:val="22"/>
          <w:szCs w:val="22"/>
          <w:vertAlign w:val="subscript"/>
        </w:rPr>
        <w:t>3</w:t>
      </w:r>
      <w:r w:rsidR="00002DF1">
        <w:rPr>
          <w:sz w:val="22"/>
          <w:szCs w:val="22"/>
        </w:rPr>
        <w:t xml:space="preserve"> as shown SI Fig S1. </w:t>
      </w:r>
    </w:p>
    <w:p w14:paraId="13626192" w14:textId="77777777" w:rsidR="00831BED" w:rsidRDefault="00831BED">
      <w:pPr>
        <w:rPr>
          <w:sz w:val="22"/>
          <w:szCs w:val="22"/>
        </w:rPr>
      </w:pPr>
      <w:r>
        <w:rPr>
          <w:sz w:val="22"/>
          <w:szCs w:val="22"/>
        </w:rPr>
        <w:br w:type="page"/>
      </w:r>
    </w:p>
    <w:p w14:paraId="41EB4BAA" w14:textId="0A5F7009" w:rsidR="00C35442" w:rsidRPr="00FB389E" w:rsidRDefault="00925DE6" w:rsidP="00925DE6">
      <w:pPr>
        <w:ind w:left="-426" w:hanging="283"/>
        <w:jc w:val="both"/>
        <w:rPr>
          <w:sz w:val="22"/>
          <w:szCs w:val="22"/>
        </w:rPr>
      </w:pPr>
      <w:r>
        <w:rPr>
          <w:noProof/>
          <w:sz w:val="22"/>
          <w:szCs w:val="22"/>
        </w:rPr>
        <w:lastRenderedPageBreak/>
        <w:drawing>
          <wp:inline distT="0" distB="0" distL="0" distR="0" wp14:anchorId="0A59AD3D" wp14:editId="14998F99">
            <wp:extent cx="6563796" cy="4202430"/>
            <wp:effectExtent l="0" t="0" r="254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7092" cy="4242955"/>
                    </a:xfrm>
                    <a:prstGeom prst="rect">
                      <a:avLst/>
                    </a:prstGeom>
                  </pic:spPr>
                </pic:pic>
              </a:graphicData>
            </a:graphic>
          </wp:inline>
        </w:drawing>
      </w:r>
    </w:p>
    <w:p w14:paraId="40F3A36F" w14:textId="77777777" w:rsidR="00FA5E93" w:rsidRDefault="00FA5E93" w:rsidP="00D5526F"/>
    <w:p w14:paraId="4FF1FF43" w14:textId="77777777" w:rsidR="00D5526F" w:rsidRDefault="00D5526F" w:rsidP="00D5526F"/>
    <w:p w14:paraId="21D736C6" w14:textId="43571236" w:rsidR="001E3962" w:rsidRPr="008E1C44" w:rsidRDefault="00D5526F" w:rsidP="008E1C44">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The two underlying models SEIR (left half) and the more realistic SEI3R (right half)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 xml:space="preserve">individuals </w:t>
      </w:r>
      <w:r w:rsidR="0010500C" w:rsidRPr="0010500C">
        <w:rPr>
          <w:sz w:val="22"/>
          <w:szCs w:val="22"/>
        </w:rPr>
        <w:t xml:space="preserve">are extended with caution in two ways: (i) </w:t>
      </w:r>
      <w:r w:rsidR="00211CDF" w:rsidRPr="0010500C">
        <w:rPr>
          <w:sz w:val="22"/>
          <w:szCs w:val="22"/>
        </w:rPr>
        <w:t>(1</w:t>
      </w:r>
      <w:r w:rsidR="00211CDF" w:rsidRPr="0010500C">
        <w:rPr>
          <w:sz w:val="22"/>
          <w:szCs w:val="22"/>
          <w:vertAlign w:val="superscript"/>
        </w:rPr>
        <w:t>st</w:t>
      </w:r>
      <w:r w:rsidR="00211CDF" w:rsidRPr="0010500C">
        <w:rPr>
          <w:sz w:val="22"/>
          <w:szCs w:val="22"/>
        </w:rPr>
        <w:t xml:space="preserve"> and 3</w:t>
      </w:r>
      <w:r w:rsidR="00211CDF" w:rsidRPr="0010500C">
        <w:rPr>
          <w:sz w:val="22"/>
          <w:szCs w:val="22"/>
          <w:vertAlign w:val="superscript"/>
        </w:rPr>
        <w:t>rd</w:t>
      </w:r>
      <w:r w:rsidR="00211CDF" w:rsidRPr="0010500C">
        <w:rPr>
          <w:sz w:val="22"/>
          <w:szCs w:val="22"/>
        </w:rPr>
        <w:t xml:space="preserve"> column) </w:t>
      </w:r>
      <w:r w:rsidR="0010500C" w:rsidRPr="0010500C">
        <w:rPr>
          <w:sz w:val="22"/>
          <w:szCs w:val="22"/>
        </w:rPr>
        <w:t xml:space="preserve">only adding cautioned </w:t>
      </w:r>
      <w:proofErr w:type="spellStart"/>
      <w:r w:rsidR="0010500C" w:rsidRPr="0010500C">
        <w:rPr>
          <w:sz w:val="22"/>
          <w:szCs w:val="22"/>
        </w:rPr>
        <w:t>susceptibles</w:t>
      </w:r>
      <w:proofErr w:type="spellEnd"/>
      <w:r w:rsidR="0010500C" w:rsidRPr="0010500C">
        <w:rPr>
          <w:sz w:val="22"/>
          <w:szCs w:val="22"/>
        </w:rPr>
        <w:t xml:space="preserve"> as in fig. 2</w:t>
      </w:r>
      <w:r w:rsidR="00211CDF">
        <w:rPr>
          <w:sz w:val="22"/>
          <w:szCs w:val="22"/>
        </w:rPr>
        <w:t>, and</w:t>
      </w:r>
      <w:r w:rsidR="0010500C" w:rsidRPr="0010500C">
        <w:rPr>
          <w:sz w:val="22"/>
          <w:szCs w:val="22"/>
        </w:rPr>
        <w:t xml:space="preserve"> (ii) </w:t>
      </w:r>
      <w:r w:rsidR="00211CDF" w:rsidRPr="0010500C">
        <w:rPr>
          <w:sz w:val="22"/>
          <w:szCs w:val="22"/>
        </w:rPr>
        <w:t>(columns 2 and 4</w:t>
      </w:r>
      <w:r w:rsidR="00211CDF">
        <w:rPr>
          <w:sz w:val="22"/>
          <w:szCs w:val="22"/>
        </w:rPr>
        <w:t xml:space="preserve">) </w:t>
      </w:r>
      <w:r w:rsidR="0010500C" w:rsidRPr="0010500C">
        <w:rPr>
          <w:sz w:val="22"/>
          <w:szCs w:val="22"/>
        </w:rPr>
        <w:t xml:space="preserve">adding cautioned </w:t>
      </w:r>
      <w:proofErr w:type="spellStart"/>
      <w:r w:rsidR="0010500C">
        <w:rPr>
          <w:sz w:val="22"/>
          <w:szCs w:val="22"/>
        </w:rPr>
        <w:t>susceptibles</w:t>
      </w:r>
      <w:proofErr w:type="spellEnd"/>
      <w:r w:rsidR="0010500C">
        <w:rPr>
          <w:sz w:val="22"/>
          <w:szCs w:val="22"/>
        </w:rPr>
        <w:t xml:space="preserve">, exposed and infected </w:t>
      </w:r>
      <w:r w:rsidR="0010500C" w:rsidRPr="0010500C">
        <w:rPr>
          <w:sz w:val="22"/>
          <w:szCs w:val="22"/>
        </w:rPr>
        <w:t xml:space="preserve">S,E,I  for all non-hospitalized classes </w:t>
      </w:r>
      <w:r w:rsidR="00211CDF">
        <w:rPr>
          <w:sz w:val="22"/>
          <w:szCs w:val="22"/>
        </w:rPr>
        <w:t>(</w:t>
      </w:r>
      <w:r w:rsidR="0010500C" w:rsidRPr="0010500C">
        <w:rPr>
          <w:sz w:val="22"/>
          <w:szCs w:val="22"/>
        </w:rPr>
        <w:t xml:space="preserve">assuming hospitalized cases are always cautioned). </w:t>
      </w:r>
      <w:r w:rsidR="0010500C">
        <w:rPr>
          <w:sz w:val="22"/>
          <w:szCs w:val="22"/>
        </w:rPr>
        <w:t xml:space="preserve">The three rows show the variations of the response with each of the three caution parameters </w:t>
      </w:r>
      <w:r w:rsidR="008E1C44">
        <w:rPr>
          <w:sz w:val="22"/>
          <w:szCs w:val="22"/>
        </w:rPr>
        <w:t>(</w:t>
      </w:r>
      <w:r w:rsidR="0010500C">
        <w:rPr>
          <w:sz w:val="22"/>
          <w:szCs w:val="22"/>
        </w:rPr>
        <w:t>c0</w:t>
      </w:r>
      <w:r w:rsidR="008E1C44">
        <w:rPr>
          <w:sz w:val="22"/>
          <w:szCs w:val="22"/>
        </w:rPr>
        <w:t>,</w:t>
      </w:r>
      <w:r w:rsidR="0010500C">
        <w:rPr>
          <w:sz w:val="22"/>
          <w:szCs w:val="22"/>
        </w:rPr>
        <w:t>c1,c2</w:t>
      </w:r>
      <w:r w:rsidR="008E1C44">
        <w:rPr>
          <w:sz w:val="22"/>
          <w:szCs w:val="22"/>
        </w:rPr>
        <w:t>)</w:t>
      </w:r>
      <w:r w:rsidR="0010500C">
        <w:rPr>
          <w:sz w:val="22"/>
          <w:szCs w:val="22"/>
        </w:rPr>
        <w:t xml:space="preserve"> </w:t>
      </w:r>
      <w:r w:rsidR="008E1C44">
        <w:rPr>
          <w:sz w:val="22"/>
          <w:szCs w:val="22"/>
        </w:rPr>
        <w:t xml:space="preserve">about reference values (0.2,21,0.3) </w:t>
      </w:r>
      <w:r w:rsidR="008A56AF">
        <w:rPr>
          <w:sz w:val="22"/>
          <w:szCs w:val="22"/>
        </w:rPr>
        <w:t>corresponding to (infectivity reduction factor, caution retention time in days, and sensitivity to ICU occupation fraction or equivalently to death rate</w:t>
      </w:r>
      <w:r w:rsidR="008E1C44">
        <w:rPr>
          <w:sz w:val="22"/>
          <w:szCs w:val="22"/>
        </w:rPr>
        <w:t>, more precisely</w:t>
      </w:r>
      <w:r w:rsidR="00C35EF1">
        <w:rPr>
          <w:sz w:val="22"/>
          <w:szCs w:val="22"/>
        </w:rPr>
        <w:t xml:space="preserve"> the f</w:t>
      </w:r>
      <w:r w:rsidR="00C35EF1" w:rsidRPr="00C35EF1">
        <w:rPr>
          <w:sz w:val="22"/>
          <w:szCs w:val="22"/>
        </w:rPr>
        <w:t>raction of ICUs occupied leading to transition to caution @ 1/day</w:t>
      </w:r>
      <w:r w:rsidR="00C35EF1">
        <w:rPr>
          <w:sz w:val="22"/>
          <w:szCs w:val="22"/>
        </w:rPr>
        <w:t xml:space="preserve">). The ICU fraction relative to population is a known country dependent parameter, set to </w:t>
      </w:r>
      <w:r w:rsidR="008E1C44">
        <w:rPr>
          <w:sz w:val="22"/>
          <w:szCs w:val="22"/>
        </w:rPr>
        <w:t xml:space="preserve">a typical western value of </w:t>
      </w:r>
      <w:r w:rsidR="00C35EF1">
        <w:rPr>
          <w:sz w:val="22"/>
          <w:szCs w:val="22"/>
        </w:rPr>
        <w:t>0.002 in this case.</w:t>
      </w:r>
      <w:r w:rsidR="008E1C44">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as a fraction of the population (allowing application to different regions or nations).</w:t>
      </w:r>
    </w:p>
    <w:p w14:paraId="0E5ED05E" w14:textId="77777777" w:rsidR="00C35442" w:rsidRDefault="00C35442" w:rsidP="00D5526F"/>
    <w:p w14:paraId="071E1AA8" w14:textId="77777777" w:rsidR="001E3962" w:rsidRDefault="001E3962">
      <w:r>
        <w:br w:type="page"/>
      </w:r>
    </w:p>
    <w:p w14:paraId="3695E778" w14:textId="325F30DB" w:rsidR="00AE4C8A" w:rsidRDefault="00AA6EE7" w:rsidP="00D5526F">
      <w:r>
        <w:rPr>
          <w:noProof/>
        </w:rPr>
        <w:lastRenderedPageBreak/>
        <w:drawing>
          <wp:inline distT="0" distB="0" distL="0" distR="0" wp14:anchorId="08E21003" wp14:editId="2B6A80A8">
            <wp:extent cx="5727700" cy="5577840"/>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5577840"/>
                    </a:xfrm>
                    <a:prstGeom prst="rect">
                      <a:avLst/>
                    </a:prstGeom>
                  </pic:spPr>
                </pic:pic>
              </a:graphicData>
            </a:graphic>
          </wp:inline>
        </w:drawing>
      </w:r>
    </w:p>
    <w:p w14:paraId="64D6538F" w14:textId="4FC0A795" w:rsidR="00BA3A52" w:rsidRDefault="00C35442" w:rsidP="00BA3A52">
      <w:pPr>
        <w:jc w:val="both"/>
        <w:rPr>
          <w:sz w:val="22"/>
          <w:szCs w:val="22"/>
          <w:lang w:val="en-US"/>
        </w:rPr>
      </w:pPr>
      <w:r w:rsidRPr="00AE4C8A">
        <w:rPr>
          <w:b/>
          <w:bCs/>
          <w:sz w:val="22"/>
          <w:szCs w:val="22"/>
        </w:rPr>
        <w:t xml:space="preserve">Fig. 4 Fit to country data </w:t>
      </w:r>
      <w:r w:rsidR="00A905F2">
        <w:rPr>
          <w:b/>
          <w:bCs/>
          <w:sz w:val="22"/>
          <w:szCs w:val="22"/>
        </w:rPr>
        <w:t xml:space="preserve">(Germany) </w:t>
      </w:r>
      <w:r w:rsidRPr="00AE4C8A">
        <w:rPr>
          <w:b/>
          <w:bCs/>
          <w:sz w:val="22"/>
          <w:szCs w:val="22"/>
        </w:rPr>
        <w:t xml:space="preserve">for caution arising </w:t>
      </w:r>
      <w:r w:rsidR="00D5526F" w:rsidRPr="00AE4C8A">
        <w:rPr>
          <w:b/>
          <w:bCs/>
          <w:sz w:val="22"/>
          <w:szCs w:val="22"/>
        </w:rPr>
        <w:t>from critical societal burden in SC</w:t>
      </w:r>
      <w:r w:rsidR="00AE4C8A" w:rsidRPr="00AE4C8A">
        <w:rPr>
          <w:b/>
          <w:bCs/>
          <w:sz w:val="22"/>
          <w:szCs w:val="22"/>
        </w:rPr>
        <w:t>3</w:t>
      </w:r>
      <w:r w:rsidR="00D5526F" w:rsidRPr="00AE4C8A">
        <w:rPr>
          <w:b/>
          <w:bCs/>
          <w:sz w:val="22"/>
          <w:szCs w:val="22"/>
        </w:rPr>
        <w:t>EI3R model</w:t>
      </w:r>
      <w:r w:rsidR="00AE4C8A" w:rsidRPr="00AE4C8A">
        <w:rPr>
          <w:sz w:val="22"/>
          <w:szCs w:val="22"/>
        </w:rPr>
        <w:t xml:space="preserve">. </w:t>
      </w:r>
      <w:r w:rsidR="00A905F2">
        <w:rPr>
          <w:sz w:val="22"/>
          <w:szCs w:val="22"/>
        </w:rPr>
        <w:t>The data for the registered fraction of population with Covid-19 infection (green), recovered (blue) and deaths</w:t>
      </w:r>
      <w:r w:rsidR="00971C1E">
        <w:rPr>
          <w:sz w:val="22"/>
          <w:szCs w:val="22"/>
        </w:rPr>
        <w:t xml:space="preserve"> x10</w:t>
      </w:r>
      <w:r w:rsidR="00A905F2">
        <w:rPr>
          <w:sz w:val="22"/>
          <w:szCs w:val="22"/>
        </w:rPr>
        <w:t xml:space="preserve"> (red) is shown with points (daily JHU data) and curves from simulation of ODEs according to the model SC3EI3R (see Fig. S1 for mechanism and equations). The second wave in Germany is predicted correctly for a </w:t>
      </w:r>
      <w:r w:rsidR="00AA6EE7">
        <w:rPr>
          <w:sz w:val="22"/>
          <w:szCs w:val="22"/>
        </w:rPr>
        <w:t xml:space="preserve">ca. </w:t>
      </w:r>
      <w:r w:rsidR="00A905F2">
        <w:rPr>
          <w:sz w:val="22"/>
          <w:szCs w:val="22"/>
        </w:rPr>
        <w:t>2</w:t>
      </w:r>
      <w:r w:rsidR="00BA3A52">
        <w:rPr>
          <w:sz w:val="22"/>
          <w:szCs w:val="22"/>
        </w:rPr>
        <w:t>-</w:t>
      </w:r>
      <w:r w:rsidR="00A905F2">
        <w:rPr>
          <w:sz w:val="22"/>
          <w:szCs w:val="22"/>
        </w:rPr>
        <w:t>month caution retention time. The fit was produced manually by varying the caution parameter</w:t>
      </w:r>
      <w:r w:rsidR="00AA6EE7">
        <w:rPr>
          <w:sz w:val="22"/>
          <w:szCs w:val="22"/>
        </w:rPr>
        <w:t xml:space="preserve"> c_1</w:t>
      </w:r>
      <w:r w:rsidR="00A905F2">
        <w:rPr>
          <w:sz w:val="22"/>
          <w:szCs w:val="22"/>
        </w:rPr>
        <w:t xml:space="preserve"> as well as the </w:t>
      </w:r>
      <w:r w:rsidR="00AA6EE7">
        <w:rPr>
          <w:sz w:val="22"/>
          <w:szCs w:val="22"/>
        </w:rPr>
        <w:t xml:space="preserve">fraction of infected individuals (at start date Jan 25). The parameters of the fit are </w:t>
      </w:r>
      <w:r w:rsidR="00AA6EE7" w:rsidRPr="00AA6EE7">
        <w:rPr>
          <w:sz w:val="22"/>
          <w:szCs w:val="22"/>
        </w:rPr>
        <w:t>{c</w:t>
      </w:r>
      <w:r w:rsidR="00BA3A52" w:rsidRPr="00BA3A52">
        <w:rPr>
          <w:sz w:val="22"/>
          <w:szCs w:val="22"/>
          <w:vertAlign w:val="subscript"/>
        </w:rPr>
        <w:t>0</w:t>
      </w:r>
      <w:r w:rsidR="00AA6EE7" w:rsidRPr="00AA6EE7">
        <w:rPr>
          <w:sz w:val="22"/>
          <w:szCs w:val="22"/>
        </w:rPr>
        <w:t xml:space="preserve">: 0.1, </w:t>
      </w:r>
      <w:r w:rsidR="00BA3A52">
        <w:rPr>
          <w:sz w:val="22"/>
          <w:szCs w:val="22"/>
        </w:rPr>
        <w:t>c</w:t>
      </w:r>
      <w:r w:rsidR="00BA3A52" w:rsidRPr="00BA3A52">
        <w:rPr>
          <w:sz w:val="22"/>
          <w:szCs w:val="22"/>
          <w:vertAlign w:val="subscript"/>
        </w:rPr>
        <w:t>1</w:t>
      </w:r>
      <w:r w:rsidR="00AA6EE7" w:rsidRPr="00AA6EE7">
        <w:rPr>
          <w:sz w:val="22"/>
          <w:szCs w:val="22"/>
        </w:rPr>
        <w:t xml:space="preserve">: 0.015, </w:t>
      </w:r>
      <w:r w:rsidR="00BA3A52">
        <w:rPr>
          <w:sz w:val="22"/>
          <w:szCs w:val="22"/>
        </w:rPr>
        <w:t>c</w:t>
      </w:r>
      <w:r w:rsidR="00BA3A52" w:rsidRPr="00BA3A52">
        <w:rPr>
          <w:sz w:val="22"/>
          <w:szCs w:val="22"/>
          <w:vertAlign w:val="subscript"/>
        </w:rPr>
        <w:t>2</w:t>
      </w:r>
      <w:r w:rsidR="00AA6EE7" w:rsidRPr="00AA6EE7">
        <w:rPr>
          <w:sz w:val="22"/>
          <w:szCs w:val="22"/>
        </w:rPr>
        <w:t>: 10</w:t>
      </w:r>
      <w:r w:rsidR="00BA3A52" w:rsidRPr="00BA3A52">
        <w:rPr>
          <w:sz w:val="22"/>
          <w:szCs w:val="22"/>
          <w:vertAlign w:val="superscript"/>
        </w:rPr>
        <w:t>4</w:t>
      </w:r>
      <w:r w:rsidR="00AA6EE7" w:rsidRPr="00AA6EE7">
        <w:rPr>
          <w:sz w:val="22"/>
          <w:szCs w:val="22"/>
        </w:rPr>
        <w:t>, I</w:t>
      </w:r>
      <w:r w:rsidR="00BA3A52" w:rsidRPr="00BA3A52">
        <w:rPr>
          <w:sz w:val="22"/>
          <w:szCs w:val="22"/>
          <w:vertAlign w:val="subscript"/>
        </w:rPr>
        <w:t>0</w:t>
      </w:r>
      <w:r w:rsidR="00AA6EE7" w:rsidRPr="00AA6EE7">
        <w:rPr>
          <w:sz w:val="22"/>
          <w:szCs w:val="22"/>
        </w:rPr>
        <w:t xml:space="preserve">: </w:t>
      </w:r>
      <w:r w:rsidR="00BA3A52">
        <w:rPr>
          <w:sz w:val="22"/>
          <w:szCs w:val="22"/>
        </w:rPr>
        <w:t>10</w:t>
      </w:r>
      <w:r w:rsidR="00AA6EE7" w:rsidRPr="00BA3A52">
        <w:rPr>
          <w:sz w:val="22"/>
          <w:szCs w:val="22"/>
          <w:vertAlign w:val="superscript"/>
        </w:rPr>
        <w:t>-6.73</w:t>
      </w:r>
      <w:r w:rsidR="00AA6EE7" w:rsidRPr="00AA6EE7">
        <w:rPr>
          <w:sz w:val="22"/>
          <w:szCs w:val="22"/>
        </w:rPr>
        <w:t>}</w:t>
      </w:r>
      <w:r w:rsidR="00AA6EE7">
        <w:rPr>
          <w:sz w:val="22"/>
          <w:szCs w:val="22"/>
        </w:rPr>
        <w:t xml:space="preserve"> and the fixed parameters assumed were </w:t>
      </w:r>
      <w:r w:rsidR="00AA6EE7" w:rsidRPr="00AA6EE7">
        <w:rPr>
          <w:sz w:val="22"/>
          <w:szCs w:val="22"/>
        </w:rPr>
        <w:t>{</w:t>
      </w:r>
      <w:r w:rsidR="00E029E4" w:rsidRPr="00E029E4">
        <w:rPr>
          <w:rFonts w:ascii="Cambria" w:eastAsia="Euclid Symbol" w:hAnsi="Cambria" w:cs="Cambria"/>
          <w:sz w:val="22"/>
          <w:szCs w:val="22"/>
        </w:rPr>
        <w:t xml:space="preserve"> </w:t>
      </w:r>
      <w:r w:rsidR="00E029E4">
        <w:rPr>
          <w:rFonts w:ascii="Cambria" w:eastAsia="Euclid Symbol" w:hAnsi="Cambria" w:cs="Cambria"/>
          <w:sz w:val="22"/>
          <w:szCs w:val="22"/>
        </w:rPr>
        <w:t>β</w:t>
      </w:r>
      <w:r w:rsidR="00BA3A52">
        <w:rPr>
          <w:sz w:val="22"/>
          <w:szCs w:val="22"/>
          <w:vertAlign w:val="subscript"/>
        </w:rPr>
        <w:t>1</w:t>
      </w:r>
      <w:r w:rsidR="00AA6EE7" w:rsidRPr="00AA6EE7">
        <w:rPr>
          <w:sz w:val="22"/>
          <w:szCs w:val="22"/>
        </w:rPr>
        <w:t xml:space="preserve">: 0.4, </w:t>
      </w:r>
      <w:r w:rsidR="00E029E4">
        <w:rPr>
          <w:rFonts w:ascii="Cambria" w:eastAsia="Euclid Symbol" w:hAnsi="Cambria" w:cs="Cambria"/>
          <w:sz w:val="22"/>
          <w:szCs w:val="22"/>
        </w:rPr>
        <w:t>β</w:t>
      </w:r>
      <w:r w:rsidR="00E029E4" w:rsidRPr="00E029E4">
        <w:rPr>
          <w:sz w:val="22"/>
          <w:szCs w:val="22"/>
          <w:vertAlign w:val="subscript"/>
        </w:rPr>
        <w:t>2</w:t>
      </w:r>
      <w:r w:rsidR="00AA6EE7" w:rsidRPr="00AA6EE7">
        <w:rPr>
          <w:sz w:val="22"/>
          <w:szCs w:val="22"/>
        </w:rPr>
        <w:t xml:space="preserve">: 0, </w:t>
      </w:r>
      <w:r w:rsidR="00BA3A52">
        <w:rPr>
          <w:rFonts w:ascii="Cambria" w:eastAsia="Euclid Symbol" w:hAnsi="Cambria" w:cs="Cambria"/>
          <w:sz w:val="22"/>
          <w:szCs w:val="22"/>
        </w:rPr>
        <w:t>β</w:t>
      </w:r>
      <w:r w:rsidR="00BA3A52">
        <w:rPr>
          <w:sz w:val="22"/>
          <w:szCs w:val="22"/>
          <w:vertAlign w:val="subscript"/>
        </w:rPr>
        <w:t>3</w:t>
      </w:r>
      <w:r w:rsidR="00AA6EE7" w:rsidRPr="00AA6EE7">
        <w:rPr>
          <w:sz w:val="22"/>
          <w:szCs w:val="22"/>
        </w:rPr>
        <w:t>: 0,</w:t>
      </w:r>
      <w:r w:rsidR="00BA3A52">
        <w:rPr>
          <w:rFonts w:ascii="Cambria" w:eastAsia="Euclid Symbol" w:hAnsi="Cambria" w:cs="Cambria"/>
          <w:sz w:val="22"/>
          <w:szCs w:val="22"/>
        </w:rPr>
        <w:t>α</w:t>
      </w:r>
      <w:r w:rsidR="00AA6EE7" w:rsidRPr="00AA6EE7">
        <w:rPr>
          <w:sz w:val="22"/>
          <w:szCs w:val="22"/>
        </w:rPr>
        <w:t xml:space="preserve">: 0.2, </w:t>
      </w:r>
      <w:r w:rsidR="00BA3A52">
        <w:rPr>
          <w:rFonts w:ascii="Cambria" w:eastAsia="Euclid Symbol" w:hAnsi="Cambria" w:cs="Cambria"/>
          <w:sz w:val="22"/>
          <w:szCs w:val="22"/>
        </w:rPr>
        <w:t>γ</w:t>
      </w:r>
      <w:r w:rsidR="00AA6EE7" w:rsidRPr="00BA3A52">
        <w:rPr>
          <w:sz w:val="22"/>
          <w:szCs w:val="22"/>
          <w:vertAlign w:val="subscript"/>
        </w:rPr>
        <w:t>1</w:t>
      </w:r>
      <w:r w:rsidR="00AA6EE7" w:rsidRPr="00AA6EE7">
        <w:rPr>
          <w:sz w:val="22"/>
          <w:szCs w:val="22"/>
        </w:rPr>
        <w:t>: 0.0</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2</w:t>
      </w:r>
      <w:r w:rsidR="00AA6EE7" w:rsidRPr="00AA6EE7">
        <w:rPr>
          <w:sz w:val="22"/>
          <w:szCs w:val="22"/>
        </w:rPr>
        <w:t>: 0.16</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3</w:t>
      </w:r>
      <w:r w:rsidR="00AA6EE7" w:rsidRPr="00AA6EE7">
        <w:rPr>
          <w:sz w:val="22"/>
          <w:szCs w:val="22"/>
        </w:rPr>
        <w:t xml:space="preserve">: 0.1, </w:t>
      </w:r>
      <w:r w:rsidR="00AA6EE7" w:rsidRPr="00BA3A52">
        <w:rPr>
          <w:sz w:val="22"/>
          <w:szCs w:val="22"/>
        </w:rPr>
        <w:t>p</w:t>
      </w:r>
      <w:r w:rsidR="00AA6EE7" w:rsidRPr="00BA3A52">
        <w:rPr>
          <w:sz w:val="22"/>
          <w:szCs w:val="22"/>
          <w:vertAlign w:val="subscript"/>
        </w:rPr>
        <w:t>1</w:t>
      </w:r>
      <w:r w:rsidR="00AA6EE7" w:rsidRPr="00AA6EE7">
        <w:rPr>
          <w:sz w:val="22"/>
          <w:szCs w:val="22"/>
        </w:rPr>
        <w:t xml:space="preserve">: 0.03, </w:t>
      </w:r>
      <w:r w:rsidR="00BA3A52" w:rsidRPr="00BA3A52">
        <w:rPr>
          <w:sz w:val="22"/>
          <w:szCs w:val="22"/>
        </w:rPr>
        <w:t>p</w:t>
      </w:r>
      <w:r w:rsidR="00BA3A52">
        <w:rPr>
          <w:sz w:val="22"/>
          <w:szCs w:val="22"/>
          <w:vertAlign w:val="subscript"/>
        </w:rPr>
        <w:t>2</w:t>
      </w:r>
      <w:r w:rsidR="00AA6EE7" w:rsidRPr="00AA6EE7">
        <w:rPr>
          <w:sz w:val="22"/>
          <w:szCs w:val="22"/>
        </w:rPr>
        <w:t>: 0.083</w:t>
      </w:r>
      <w:r w:rsidR="00BA3A52">
        <w:rPr>
          <w:sz w:val="22"/>
          <w:szCs w:val="22"/>
        </w:rPr>
        <w:t>,</w:t>
      </w:r>
      <w:r w:rsidR="00BA3A52">
        <w:rPr>
          <w:rFonts w:ascii="Cambria" w:eastAsia="Euclid Symbol" w:hAnsi="Cambria" w:cs="Cambria"/>
          <w:sz w:val="22"/>
          <w:szCs w:val="22"/>
        </w:rPr>
        <w:t>μ</w:t>
      </w:r>
      <w:r w:rsidR="00AA6EE7" w:rsidRPr="00AA6EE7">
        <w:rPr>
          <w:sz w:val="22"/>
          <w:szCs w:val="22"/>
        </w:rPr>
        <w:t>: 0.1}</w:t>
      </w:r>
      <w:r w:rsidR="00BA3A52">
        <w:rPr>
          <w:sz w:val="22"/>
          <w:szCs w:val="22"/>
        </w:rPr>
        <w:t xml:space="preserve"> </w:t>
      </w:r>
      <w:r w:rsidR="00BA3A52">
        <w:rPr>
          <w:sz w:val="22"/>
          <w:szCs w:val="22"/>
          <w:lang w:val="en-US"/>
        </w:rPr>
        <w:t>b</w:t>
      </w:r>
      <w:r w:rsidR="00BA3A52" w:rsidRPr="00BA3A52">
        <w:rPr>
          <w:sz w:val="22"/>
          <w:szCs w:val="22"/>
          <w:lang w:val="en-US"/>
        </w:rPr>
        <w:t>ased on</w:t>
      </w:r>
      <w:r w:rsidR="00BA3A52">
        <w:rPr>
          <w:sz w:val="22"/>
          <w:szCs w:val="22"/>
          <w:lang w:val="en-US"/>
        </w:rPr>
        <w:t xml:space="preserve"> the standard parameters </w:t>
      </w:r>
      <w:r w:rsidR="00BA3A52" w:rsidRPr="00BA3A52">
        <w:rPr>
          <w:sz w:val="22"/>
          <w:szCs w:val="22"/>
          <w:lang w:val="en-DE"/>
        </w:rPr>
        <w:t>Exposure=0.4</w:t>
      </w:r>
      <w:r w:rsidR="00BA3A52" w:rsidRPr="00BA3A52">
        <w:rPr>
          <w:sz w:val="22"/>
          <w:szCs w:val="22"/>
          <w:lang w:val="en-US"/>
        </w:rPr>
        <w:t>,</w:t>
      </w:r>
      <w:r w:rsidR="00BA3A52" w:rsidRPr="00BA3A52">
        <w:rPr>
          <w:sz w:val="22"/>
          <w:szCs w:val="22"/>
          <w:lang w:val="en-DE"/>
        </w:rPr>
        <w:t xml:space="preserve"> IncubPeriod=5</w:t>
      </w:r>
      <w:r w:rsidR="00BA3A52" w:rsidRPr="00BA3A52">
        <w:rPr>
          <w:sz w:val="22"/>
          <w:szCs w:val="22"/>
          <w:lang w:val="en-US"/>
        </w:rPr>
        <w:t>,</w:t>
      </w:r>
      <w:r w:rsidR="00BA3A52" w:rsidRPr="00BA3A52">
        <w:rPr>
          <w:sz w:val="22"/>
          <w:szCs w:val="22"/>
          <w:lang w:val="en-DE"/>
        </w:rPr>
        <w:t xml:space="preserve"> DurMildInf=10</w:t>
      </w:r>
      <w:r w:rsidR="00BA3A52" w:rsidRPr="00BA3A52">
        <w:rPr>
          <w:sz w:val="22"/>
          <w:szCs w:val="22"/>
          <w:lang w:val="en-US"/>
        </w:rPr>
        <w:t>,</w:t>
      </w:r>
      <w:r w:rsidR="00BA3A52">
        <w:rPr>
          <w:sz w:val="22"/>
          <w:szCs w:val="22"/>
          <w:lang w:val="en-US"/>
        </w:rPr>
        <w:t xml:space="preserve"> </w:t>
      </w:r>
      <w:r w:rsidR="00BA3A52" w:rsidRPr="00BA3A52">
        <w:rPr>
          <w:sz w:val="22"/>
          <w:szCs w:val="22"/>
          <w:lang w:val="en-DE"/>
        </w:rPr>
        <w:t>FracMild=0.7</w:t>
      </w:r>
      <w:r w:rsidR="00BA3A52" w:rsidRPr="00BA3A52">
        <w:rPr>
          <w:sz w:val="22"/>
          <w:szCs w:val="22"/>
          <w:lang w:val="en-US"/>
        </w:rPr>
        <w:t>,</w:t>
      </w:r>
      <w:r w:rsidR="00BA3A52" w:rsidRPr="00BA3A52">
        <w:rPr>
          <w:sz w:val="22"/>
          <w:szCs w:val="22"/>
          <w:lang w:val="en-DE"/>
        </w:rPr>
        <w:t xml:space="preserve">  FracSevere=0.20</w:t>
      </w:r>
      <w:r w:rsidR="00BA3A52" w:rsidRPr="00BA3A52">
        <w:rPr>
          <w:sz w:val="22"/>
          <w:szCs w:val="22"/>
          <w:lang w:val="en-US"/>
        </w:rPr>
        <w:t xml:space="preserve">, </w:t>
      </w:r>
      <w:r w:rsidR="00BA3A52" w:rsidRPr="00BA3A52">
        <w:rPr>
          <w:sz w:val="22"/>
          <w:szCs w:val="22"/>
          <w:lang w:val="en-DE"/>
        </w:rPr>
        <w:t>FracCritical=0.1</w:t>
      </w:r>
      <w:r w:rsidR="00BA3A52" w:rsidRPr="00BA3A52">
        <w:rPr>
          <w:sz w:val="22"/>
          <w:szCs w:val="22"/>
          <w:lang w:val="en-US"/>
        </w:rPr>
        <w:t>,</w:t>
      </w:r>
      <w:r w:rsidR="00BA3A52">
        <w:rPr>
          <w:sz w:val="22"/>
          <w:szCs w:val="22"/>
        </w:rPr>
        <w:t xml:space="preserve"> </w:t>
      </w:r>
      <w:r w:rsidR="00BA3A52" w:rsidRPr="00BA3A52">
        <w:rPr>
          <w:sz w:val="22"/>
          <w:szCs w:val="22"/>
          <w:lang w:val="en-DE"/>
        </w:rPr>
        <w:t>CFR=0.05</w:t>
      </w:r>
      <w:r w:rsidR="00BA3A52" w:rsidRPr="00BA3A52">
        <w:rPr>
          <w:sz w:val="22"/>
          <w:szCs w:val="22"/>
          <w:lang w:val="en-US"/>
        </w:rPr>
        <w:t xml:space="preserve">, </w:t>
      </w:r>
      <w:r w:rsidR="00BA3A52" w:rsidRPr="00BA3A52">
        <w:rPr>
          <w:sz w:val="22"/>
          <w:szCs w:val="22"/>
          <w:lang w:val="en-DE"/>
        </w:rPr>
        <w:t>TimeICUDeath=5</w:t>
      </w:r>
      <w:r w:rsidR="00BA3A52" w:rsidRPr="00BA3A52">
        <w:rPr>
          <w:sz w:val="22"/>
          <w:szCs w:val="22"/>
          <w:lang w:val="en-US"/>
        </w:rPr>
        <w:t xml:space="preserve">, </w:t>
      </w:r>
      <w:r w:rsidR="00BA3A52" w:rsidRPr="00BA3A52">
        <w:rPr>
          <w:sz w:val="22"/>
          <w:szCs w:val="22"/>
          <w:lang w:val="en-DE"/>
        </w:rPr>
        <w:t>DurHosp=4</w:t>
      </w:r>
      <w:r w:rsidR="00BA3A52" w:rsidRPr="00BA3A52">
        <w:rPr>
          <w:sz w:val="22"/>
          <w:szCs w:val="22"/>
          <w:lang w:val="en-US"/>
        </w:rPr>
        <w:t>,</w:t>
      </w:r>
      <w:r w:rsidR="00BA3A52" w:rsidRPr="00BA3A52">
        <w:rPr>
          <w:sz w:val="22"/>
          <w:szCs w:val="22"/>
          <w:lang w:val="en-DE"/>
        </w:rPr>
        <w:t xml:space="preserve"> FracConfirmedDet=0.125</w:t>
      </w:r>
      <w:r w:rsidR="00BA3A52" w:rsidRPr="00BA3A52">
        <w:rPr>
          <w:sz w:val="22"/>
          <w:szCs w:val="22"/>
          <w:lang w:val="en-US"/>
        </w:rPr>
        <w:t>,</w:t>
      </w:r>
      <w:r w:rsidR="00BA3A52">
        <w:rPr>
          <w:sz w:val="22"/>
          <w:szCs w:val="22"/>
          <w:lang w:val="en-US"/>
        </w:rPr>
        <w:t xml:space="preserve"> </w:t>
      </w:r>
      <w:r w:rsidR="00BA3A52" w:rsidRPr="00BA3A52">
        <w:rPr>
          <w:sz w:val="22"/>
          <w:szCs w:val="22"/>
          <w:lang w:val="en-DE"/>
        </w:rPr>
        <w:t>FracDeathsDet=1.0</w:t>
      </w:r>
      <w:r w:rsidR="00BA3A52">
        <w:rPr>
          <w:sz w:val="22"/>
          <w:szCs w:val="22"/>
          <w:lang w:val="en-US"/>
        </w:rPr>
        <w:t xml:space="preserve">, </w:t>
      </w:r>
      <w:r w:rsidR="00BA3A52" w:rsidRPr="00BA3A52">
        <w:rPr>
          <w:sz w:val="22"/>
          <w:szCs w:val="22"/>
          <w:lang w:val="en-DE"/>
        </w:rPr>
        <w:t>ICUFrac= 0.001</w:t>
      </w:r>
      <w:r w:rsidR="00BA3A52" w:rsidRPr="00BA3A52">
        <w:rPr>
          <w:sz w:val="22"/>
          <w:szCs w:val="22"/>
          <w:lang w:val="en-US"/>
        </w:rPr>
        <w:t>.</w:t>
      </w:r>
    </w:p>
    <w:p w14:paraId="7435B64C" w14:textId="4B9F7885" w:rsidR="008A3669" w:rsidRDefault="008A3669" w:rsidP="00BA3A52">
      <w:pPr>
        <w:jc w:val="both"/>
        <w:rPr>
          <w:sz w:val="22"/>
          <w:szCs w:val="22"/>
          <w:lang w:val="en-US"/>
        </w:rPr>
      </w:pPr>
    </w:p>
    <w:p w14:paraId="3FDF6A59" w14:textId="37DF2420" w:rsidR="008A3669" w:rsidRDefault="008A3669" w:rsidP="00BA3A52">
      <w:pPr>
        <w:jc w:val="both"/>
        <w:rPr>
          <w:sz w:val="22"/>
          <w:szCs w:val="22"/>
          <w:lang w:val="en-US"/>
        </w:rPr>
      </w:pPr>
      <w:r>
        <w:rPr>
          <w:sz w:val="22"/>
          <w:szCs w:val="22"/>
          <w:lang w:val="en-US"/>
        </w:rPr>
        <w:t>Comments: This figure needs to be replaced by a panel of 4 countries with fits. Choose:</w:t>
      </w:r>
    </w:p>
    <w:p w14:paraId="0679A215" w14:textId="77777777" w:rsidR="008A3669" w:rsidRPr="00BA3A52" w:rsidRDefault="008A3669" w:rsidP="00BA3A52">
      <w:pPr>
        <w:jc w:val="both"/>
        <w:rPr>
          <w:sz w:val="22"/>
          <w:szCs w:val="22"/>
          <w:lang w:val="en-US"/>
        </w:rPr>
      </w:pPr>
    </w:p>
    <w:p w14:paraId="648CB56D" w14:textId="77777777" w:rsidR="00BA3A52" w:rsidRPr="00AA6EE7" w:rsidRDefault="00BA3A52" w:rsidP="00AA6EE7">
      <w:pPr>
        <w:jc w:val="both"/>
        <w:rPr>
          <w:sz w:val="22"/>
          <w:szCs w:val="22"/>
          <w:lang w:val="en-DE"/>
        </w:rPr>
      </w:pPr>
    </w:p>
    <w:p w14:paraId="434F4739" w14:textId="536C3431" w:rsidR="001508F4" w:rsidRPr="00AE4C8A" w:rsidRDefault="001508F4">
      <w:pPr>
        <w:rPr>
          <w:sz w:val="22"/>
          <w:szCs w:val="22"/>
        </w:rPr>
      </w:pPr>
      <w:r w:rsidRPr="00AE4C8A">
        <w:rPr>
          <w:sz w:val="22"/>
          <w:szCs w:val="22"/>
        </w:rP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6054A04B" w:rsidR="00D509E0" w:rsidRDefault="00D509E0" w:rsidP="00D509E0">
            <w:pPr>
              <w:ind w:left="-35" w:firstLine="1"/>
            </w:pPr>
            <w:r w:rsidRPr="00087CEC">
              <w:rPr>
                <w:noProof/>
              </w:rPr>
              <w:drawing>
                <wp:inline distT="0" distB="0" distL="0" distR="0" wp14:anchorId="29963823" wp14:editId="6C9374CA">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3282" cy="945888"/>
                          </a:xfrm>
                          <a:prstGeom prst="rect">
                            <a:avLst/>
                          </a:prstGeom>
                        </pic:spPr>
                      </pic:pic>
                    </a:graphicData>
                  </a:graphic>
                </wp:inline>
              </w:drawing>
            </w:r>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72B4D59D" w:rsidR="00D509E0" w:rsidRDefault="00D509E0" w:rsidP="00D509E0">
            <w:pPr>
              <w:ind w:left="-35" w:firstLine="1"/>
            </w:pPr>
            <w:r w:rsidRPr="00087CEC">
              <w:rPr>
                <w:noProof/>
              </w:rPr>
              <w:drawing>
                <wp:inline distT="0" distB="0" distL="0" distR="0" wp14:anchorId="1E73E1E0" wp14:editId="64B29E16">
                  <wp:extent cx="1366981" cy="960729"/>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954" cy="1012718"/>
                          </a:xfrm>
                          <a:prstGeom prst="rect">
                            <a:avLst/>
                          </a:prstGeom>
                        </pic:spPr>
                      </pic:pic>
                    </a:graphicData>
                  </a:graphic>
                </wp:inline>
              </w:drawing>
            </w:r>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cautionary feedback is the class of most severely affected infected individuals. We assume for simplicity that the transition to caution is independent of exposure in the differentiated models.</w:t>
      </w:r>
    </w:p>
    <w:p w14:paraId="3B419AE8" w14:textId="7D676037" w:rsidR="008A3669" w:rsidRDefault="008A3669">
      <w:pPr>
        <w:rPr>
          <w:sz w:val="56"/>
          <w:szCs w:val="56"/>
        </w:rPr>
      </w:pPr>
      <w:r>
        <w:rPr>
          <w:sz w:val="56"/>
          <w:szCs w:val="56"/>
        </w:rPr>
        <w:lastRenderedPageBreak/>
        <w:t>Fig n</w:t>
      </w:r>
      <w:r w:rsidRPr="008A3669">
        <w:rPr>
          <w:sz w:val="56"/>
          <w:szCs w:val="56"/>
        </w:rPr>
        <w:t>ot yet available</w:t>
      </w:r>
    </w:p>
    <w:p w14:paraId="01E31D96" w14:textId="00F2C3DC" w:rsidR="008A3669" w:rsidRDefault="008A3669">
      <w:pPr>
        <w:rPr>
          <w:sz w:val="56"/>
          <w:szCs w:val="56"/>
        </w:rPr>
      </w:pPr>
    </w:p>
    <w:p w14:paraId="7C508385" w14:textId="37D289C9" w:rsidR="008A3669" w:rsidRDefault="008A3669">
      <w:pPr>
        <w:rPr>
          <w:sz w:val="56"/>
          <w:szCs w:val="56"/>
        </w:rPr>
      </w:pPr>
    </w:p>
    <w:p w14:paraId="22FCB039" w14:textId="53014A21" w:rsidR="008A3669" w:rsidRDefault="008A3669">
      <w:pPr>
        <w:rPr>
          <w:sz w:val="56"/>
          <w:szCs w:val="56"/>
        </w:rPr>
      </w:pPr>
    </w:p>
    <w:p w14:paraId="7385C281" w14:textId="77777777" w:rsidR="008A3669" w:rsidRPr="008A3669" w:rsidRDefault="008A3669">
      <w:pPr>
        <w:rPr>
          <w:sz w:val="56"/>
          <w:szCs w:val="56"/>
        </w:rPr>
      </w:pPr>
    </w:p>
    <w:p w14:paraId="4A57C05D" w14:textId="77777777" w:rsidR="008A3669" w:rsidRDefault="008A3669">
      <w:pPr>
        <w:rPr>
          <w:b/>
          <w:bCs/>
          <w:sz w:val="22"/>
          <w:szCs w:val="22"/>
        </w:rPr>
      </w:pPr>
    </w:p>
    <w:p w14:paraId="6A7E6359" w14:textId="6CEF8155" w:rsidR="00925DE6" w:rsidRPr="00D509E0" w:rsidRDefault="00905C25">
      <w:pPr>
        <w:rPr>
          <w:sz w:val="22"/>
          <w:szCs w:val="22"/>
        </w:rPr>
      </w:pPr>
      <w:r w:rsidRPr="0010500C">
        <w:rPr>
          <w:b/>
          <w:bCs/>
          <w:sz w:val="22"/>
          <w:szCs w:val="22"/>
        </w:rPr>
        <w:t xml:space="preserve">Fig. </w:t>
      </w:r>
      <w:r>
        <w:rPr>
          <w:b/>
          <w:bCs/>
          <w:sz w:val="22"/>
          <w:szCs w:val="22"/>
        </w:rPr>
        <w:t>S2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6AD9BA98" w14:textId="77777777" w:rsidR="009C6B94" w:rsidRPr="009C6B94" w:rsidRDefault="0011114A" w:rsidP="009C6B94">
      <w:pPr>
        <w:pStyle w:val="EndNoteBibliography"/>
        <w:rPr>
          <w:noProof/>
        </w:rPr>
      </w:pPr>
      <w:r>
        <w:fldChar w:fldCharType="begin"/>
      </w:r>
      <w:r>
        <w:instrText xml:space="preserve"> ADDIN EN.REFLIST </w:instrText>
      </w:r>
      <w:r>
        <w:fldChar w:fldCharType="separate"/>
      </w:r>
      <w:r w:rsidR="009C6B94" w:rsidRPr="009C6B94">
        <w:rPr>
          <w:noProof/>
        </w:rPr>
        <w:t>1.</w:t>
      </w:r>
      <w:r w:rsidR="009C6B94" w:rsidRPr="009C6B94">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2F86BA6F" w14:textId="77777777" w:rsidR="009C6B94" w:rsidRPr="009C6B94" w:rsidRDefault="009C6B94" w:rsidP="009C6B94">
      <w:pPr>
        <w:pStyle w:val="EndNoteBibliography"/>
        <w:rPr>
          <w:noProof/>
        </w:rPr>
      </w:pPr>
      <w:r w:rsidRPr="009C6B94">
        <w:rPr>
          <w:noProof/>
        </w:rPr>
        <w:t>2.</w:t>
      </w:r>
      <w:r w:rsidRPr="009C6B94">
        <w:rPr>
          <w:noProof/>
        </w:rPr>
        <w:tab/>
        <w:t>R.M., A., B., A., R.M., M.: Infectious Diseases of Humans: Dynamics and Control. Oxford University Press, Oxford, UK (1992) 9780198540403</w:t>
      </w:r>
    </w:p>
    <w:p w14:paraId="457251F4" w14:textId="77777777" w:rsidR="009C6B94" w:rsidRPr="009C6B94" w:rsidRDefault="009C6B94" w:rsidP="009C6B94">
      <w:pPr>
        <w:pStyle w:val="EndNoteBibliography"/>
        <w:rPr>
          <w:noProof/>
        </w:rPr>
      </w:pPr>
      <w:r w:rsidRPr="009C6B94">
        <w:rPr>
          <w:noProof/>
        </w:rPr>
        <w:t>3.</w:t>
      </w:r>
      <w:r w:rsidRPr="009C6B94">
        <w:rPr>
          <w:noProof/>
        </w:rPr>
        <w:tab/>
        <w:t>Anderson, R., May, R.: Directly transmitted infections diseases: control by vaccination. Science 215, 1053-1060 (1982) 10.1126/science.7063839</w:t>
      </w:r>
    </w:p>
    <w:p w14:paraId="2FE13E63" w14:textId="77777777" w:rsidR="009C6B94" w:rsidRPr="009C6B94" w:rsidRDefault="009C6B94" w:rsidP="009C6B94">
      <w:pPr>
        <w:pStyle w:val="EndNoteBibliography"/>
        <w:rPr>
          <w:noProof/>
        </w:rPr>
      </w:pPr>
      <w:r w:rsidRPr="009C6B94">
        <w:rPr>
          <w:noProof/>
        </w:rPr>
        <w:t>4.</w:t>
      </w:r>
      <w:r w:rsidRPr="009C6B94">
        <w:rPr>
          <w:noProof/>
        </w:rPr>
        <w:tab/>
        <w:t>Hethcote, H.W.: The Mathematics of Infectious Diseases. SIAM Rev. 42, 599–653 (2000) 10.1137/s0036144500371907</w:t>
      </w:r>
    </w:p>
    <w:p w14:paraId="637129C5" w14:textId="6FC68763" w:rsidR="009C6B94" w:rsidRPr="009C6B94" w:rsidRDefault="009C6B94" w:rsidP="009C6B94">
      <w:pPr>
        <w:pStyle w:val="EndNoteBibliography"/>
        <w:rPr>
          <w:noProof/>
        </w:rPr>
      </w:pPr>
      <w:r w:rsidRPr="009C6B94">
        <w:rPr>
          <w:noProof/>
        </w:rPr>
        <w:t>5.</w:t>
      </w:r>
      <w:r w:rsidRPr="009C6B94">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30" w:history="1">
        <w:r w:rsidRPr="009C6B94">
          <w:rPr>
            <w:rStyle w:val="Hyperlink"/>
            <w:noProof/>
          </w:rPr>
          <w:t>https://doi.org/10.1001/jama.2020.2648</w:t>
        </w:r>
      </w:hyperlink>
    </w:p>
    <w:p w14:paraId="78EC237D" w14:textId="57BF2F47" w:rsidR="009C6B94" w:rsidRPr="009C6B94" w:rsidRDefault="009C6B94" w:rsidP="009C6B94">
      <w:pPr>
        <w:pStyle w:val="EndNoteBibliography"/>
        <w:rPr>
          <w:noProof/>
        </w:rPr>
      </w:pPr>
      <w:r w:rsidRPr="009C6B94">
        <w:rPr>
          <w:noProof/>
        </w:rPr>
        <w:t>6.</w:t>
      </w:r>
      <w:r w:rsidRPr="009C6B94">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31" w:history="1">
        <w:r w:rsidRPr="009C6B94">
          <w:rPr>
            <w:rStyle w:val="Hyperlink"/>
            <w:noProof/>
          </w:rPr>
          <w:t>https://doi.org/10.1016/j.ijid.2020.02.058</w:t>
        </w:r>
      </w:hyperlink>
    </w:p>
    <w:p w14:paraId="10014FF1" w14:textId="01F33270" w:rsidR="009C6B94" w:rsidRPr="009C6B94" w:rsidRDefault="009C6B94" w:rsidP="009C6B94">
      <w:pPr>
        <w:pStyle w:val="EndNoteBibliography"/>
        <w:rPr>
          <w:noProof/>
        </w:rPr>
      </w:pPr>
      <w:r w:rsidRPr="009C6B94">
        <w:rPr>
          <w:noProof/>
        </w:rPr>
        <w:t>7.</w:t>
      </w:r>
      <w:r w:rsidRPr="009C6B94">
        <w:rPr>
          <w:noProof/>
        </w:rPr>
        <w:tab/>
        <w:t xml:space="preserve">Giordano, G., Blanchini, F., Bruno, R., Colaneri, P., Di Filippo, A., Di Matteo, A., Colaneri, M.: Modelling the COVID-19 epidemic and implementation of population-wide interventions in Italy. Nature Medicine (2020) </w:t>
      </w:r>
      <w:hyperlink r:id="rId32" w:history="1">
        <w:r w:rsidRPr="009C6B94">
          <w:rPr>
            <w:rStyle w:val="Hyperlink"/>
            <w:noProof/>
          </w:rPr>
          <w:t>https://doi.org/10.1038/s41591-020-0883-7</w:t>
        </w:r>
      </w:hyperlink>
    </w:p>
    <w:p w14:paraId="66E58D96" w14:textId="77777777" w:rsidR="009C6B94" w:rsidRPr="009C6B94" w:rsidRDefault="009C6B94" w:rsidP="009C6B94">
      <w:pPr>
        <w:pStyle w:val="EndNoteBibliography"/>
        <w:rPr>
          <w:noProof/>
        </w:rPr>
      </w:pPr>
      <w:r w:rsidRPr="009C6B94">
        <w:rPr>
          <w:noProof/>
        </w:rPr>
        <w:t>8.</w:t>
      </w:r>
      <w:r w:rsidRPr="009C6B94">
        <w:rPr>
          <w:noProof/>
        </w:rPr>
        <w:tab/>
        <w:t>Gumel, A.B., Ruan, S., Day, T., Watmough, J., Brauer, F., van den Driessche, P., Gabrielson, D., Bowman, C., Alexander, M.E., Ardal, S., Wu, J., Sahai, B.M.: Modelling strategies for controlling SARS outbreaks. Proc Biol Sci 271, 2223-2232 (2004) 10.1098/rspb.2004.2800</w:t>
      </w:r>
    </w:p>
    <w:p w14:paraId="2FA13AAD" w14:textId="77777777" w:rsidR="009C6B94" w:rsidRPr="009C6B94" w:rsidRDefault="009C6B94" w:rsidP="009C6B94">
      <w:pPr>
        <w:pStyle w:val="EndNoteBibliography"/>
        <w:rPr>
          <w:noProof/>
        </w:rPr>
      </w:pPr>
      <w:r w:rsidRPr="009C6B94">
        <w:rPr>
          <w:noProof/>
        </w:rPr>
        <w:t>9.</w:t>
      </w:r>
      <w:r w:rsidRPr="009C6B94">
        <w:rPr>
          <w:noProof/>
        </w:rPr>
        <w:tab/>
        <w:t xml:space="preserve">Klepac, P., Kucharski, A.J., Conlan, A.J., Kissler, S., Tang, M., Fry, H., Gog, J.R.: Contacts in context: large-scale setting-specific social mixing matrices from the BBC Pandemic project. medRxiv (2020) </w:t>
      </w:r>
    </w:p>
    <w:p w14:paraId="2F721AE3" w14:textId="77777777" w:rsidR="009C6B94" w:rsidRPr="009C6B94" w:rsidRDefault="009C6B94" w:rsidP="009C6B94">
      <w:pPr>
        <w:pStyle w:val="EndNoteBibliography"/>
        <w:rPr>
          <w:noProof/>
        </w:rPr>
      </w:pPr>
      <w:r w:rsidRPr="009C6B94">
        <w:rPr>
          <w:noProof/>
        </w:rPr>
        <w:t>10.</w:t>
      </w:r>
      <w:r w:rsidRPr="009C6B94">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2E05A6E3" w14:textId="03C05E30" w:rsidR="009C6B94" w:rsidRPr="009C6B94" w:rsidRDefault="009C6B94" w:rsidP="009C6B94">
      <w:pPr>
        <w:pStyle w:val="EndNoteBibliography"/>
        <w:rPr>
          <w:noProof/>
        </w:rPr>
      </w:pPr>
      <w:r w:rsidRPr="009C6B94">
        <w:rPr>
          <w:noProof/>
        </w:rPr>
        <w:t>11.</w:t>
      </w:r>
      <w:r w:rsidRPr="009C6B94">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3" w:history="1">
        <w:r w:rsidRPr="009C6B94">
          <w:rPr>
            <w:rStyle w:val="Hyperlink"/>
            <w:noProof/>
          </w:rPr>
          <w:t>https://doi.org/10.1016/S2214-109X(20)30074-7</w:t>
        </w:r>
      </w:hyperlink>
    </w:p>
    <w:p w14:paraId="45278EBF" w14:textId="77777777" w:rsidR="009C6B94" w:rsidRPr="009C6B94" w:rsidRDefault="009C6B94" w:rsidP="009C6B94">
      <w:pPr>
        <w:pStyle w:val="EndNoteBibliography"/>
        <w:rPr>
          <w:noProof/>
        </w:rPr>
      </w:pPr>
      <w:r w:rsidRPr="009C6B94">
        <w:rPr>
          <w:noProof/>
        </w:rPr>
        <w:t>12.</w:t>
      </w:r>
      <w:r w:rsidRPr="009C6B94">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174BDB96" w14:textId="77777777" w:rsidR="009C6B94" w:rsidRPr="009C6B94" w:rsidRDefault="009C6B94" w:rsidP="009C6B94">
      <w:pPr>
        <w:pStyle w:val="EndNoteBibliography"/>
        <w:rPr>
          <w:noProof/>
        </w:rPr>
      </w:pPr>
      <w:r w:rsidRPr="009C6B94">
        <w:rPr>
          <w:noProof/>
        </w:rPr>
        <w:lastRenderedPageBreak/>
        <w:t>13.</w:t>
      </w:r>
      <w:r w:rsidRPr="009C6B94">
        <w:rPr>
          <w:noProof/>
        </w:rPr>
        <w:tab/>
        <w:t>Angulo, J., Yu, H.-L., Langousis, A., Kolovos, A., Wang, J., Madrid, A.E., Christakos, G.: Spatiotemporal Infectious Disease Modeling: A BME-SIR Approach. PLOS ONE 8, e72168 (2013) 10.1371/journal.pone.0072168</w:t>
      </w:r>
    </w:p>
    <w:p w14:paraId="744A5766" w14:textId="77777777" w:rsidR="009C6B94" w:rsidRPr="009C6B94" w:rsidRDefault="009C6B94" w:rsidP="009C6B94">
      <w:pPr>
        <w:pStyle w:val="EndNoteBibliography"/>
        <w:rPr>
          <w:noProof/>
        </w:rPr>
      </w:pPr>
      <w:r w:rsidRPr="009C6B94">
        <w:rPr>
          <w:noProof/>
        </w:rPr>
        <w:t>14.</w:t>
      </w:r>
      <w:r w:rsidRPr="009C6B94">
        <w:rPr>
          <w:noProof/>
        </w:rPr>
        <w:tab/>
        <w:t>Keeling, M.J.: The effects of local spatial structure on epidemiological invasions. Proc Biol Sci 266, 859-867 (1999) 10.1098/rspb.1999.0716</w:t>
      </w:r>
    </w:p>
    <w:p w14:paraId="3EBE8151" w14:textId="77777777" w:rsidR="009C6B94" w:rsidRPr="009C6B94" w:rsidRDefault="009C6B94" w:rsidP="009C6B94">
      <w:pPr>
        <w:pStyle w:val="EndNoteBibliography"/>
        <w:rPr>
          <w:noProof/>
        </w:rPr>
      </w:pPr>
      <w:r w:rsidRPr="009C6B94">
        <w:rPr>
          <w:noProof/>
        </w:rPr>
        <w:t>15.</w:t>
      </w:r>
      <w:r w:rsidRPr="009C6B94">
        <w:rPr>
          <w:noProof/>
        </w:rPr>
        <w:tab/>
        <w:t>Danon, L., Brooks-Pollock, E., Bailey, M., Keeling, M.J.: A spatial model of CoVID-19 transmission in England and Wales: early spread and peak timing. medRxiv 2020.2002.2012.20022566 (2020) 10.1101/2020.02.12.20022566</w:t>
      </w:r>
    </w:p>
    <w:p w14:paraId="42E2420E" w14:textId="77777777" w:rsidR="009C6B94" w:rsidRPr="009C6B94" w:rsidRDefault="009C6B94" w:rsidP="009C6B94">
      <w:pPr>
        <w:pStyle w:val="EndNoteBibliography"/>
        <w:rPr>
          <w:noProof/>
        </w:rPr>
      </w:pPr>
      <w:r w:rsidRPr="009C6B94">
        <w:rPr>
          <w:noProof/>
        </w:rPr>
        <w:t>16.</w:t>
      </w:r>
      <w:r w:rsidRPr="009C6B94">
        <w:rPr>
          <w:noProof/>
        </w:rPr>
        <w:tab/>
        <w:t xml:space="preserve">Ziff, A.L., Ziff, R.M.: Fractal kinetics of COVID-19 pandemic. medRxiv (2020) </w:t>
      </w:r>
    </w:p>
    <w:p w14:paraId="7382966C" w14:textId="77777777" w:rsidR="009C6B94" w:rsidRPr="009C6B94" w:rsidRDefault="009C6B94" w:rsidP="009C6B94">
      <w:pPr>
        <w:pStyle w:val="EndNoteBibliography"/>
        <w:rPr>
          <w:noProof/>
        </w:rPr>
      </w:pPr>
      <w:r w:rsidRPr="009C6B94">
        <w:rPr>
          <w:noProof/>
        </w:rPr>
        <w:t>17.</w:t>
      </w:r>
      <w:r w:rsidRPr="009C6B94">
        <w:rPr>
          <w:noProof/>
        </w:rPr>
        <w:tab/>
        <w:t>Simoes, J.M.: Spatial Epidemic Modelling in Social Networks. AIP Conference Proceedings 776, 287-297 (2005) 10.1063/1.1985395</w:t>
      </w:r>
    </w:p>
    <w:p w14:paraId="254681A2" w14:textId="77777777" w:rsidR="009C6B94" w:rsidRPr="009C6B94" w:rsidRDefault="009C6B94" w:rsidP="009C6B94">
      <w:pPr>
        <w:pStyle w:val="EndNoteBibliography"/>
        <w:rPr>
          <w:noProof/>
        </w:rPr>
      </w:pPr>
      <w:r w:rsidRPr="009C6B94">
        <w:rPr>
          <w:noProof/>
        </w:rPr>
        <w:t>18.</w:t>
      </w:r>
      <w:r w:rsidRPr="009C6B94">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05A11EAA" w14:textId="77777777" w:rsidR="009C6B94" w:rsidRPr="009C6B94" w:rsidRDefault="009C6B94" w:rsidP="009C6B94">
      <w:pPr>
        <w:pStyle w:val="EndNoteBibliography"/>
        <w:rPr>
          <w:noProof/>
        </w:rPr>
      </w:pPr>
      <w:r w:rsidRPr="009C6B94">
        <w:rPr>
          <w:noProof/>
        </w:rPr>
        <w:t>19.</w:t>
      </w:r>
      <w:r w:rsidRPr="009C6B94">
        <w:rPr>
          <w:noProof/>
        </w:rPr>
        <w:tab/>
        <w:t>Hunter, E., Mac Namee, B., Kelleher, J.D.: A Taxonomy for Agent-Based Models in Human Infectious Disease Epidemiology. Journal of Artificial Societies and Social Simulation 20, 2 (2017) 10.18564/jasss.3414</w:t>
      </w:r>
    </w:p>
    <w:p w14:paraId="7733237E" w14:textId="77777777" w:rsidR="009C6B94" w:rsidRPr="009C6B94" w:rsidRDefault="009C6B94" w:rsidP="009C6B94">
      <w:pPr>
        <w:pStyle w:val="EndNoteBibliography"/>
        <w:rPr>
          <w:noProof/>
        </w:rPr>
      </w:pPr>
      <w:r w:rsidRPr="009C6B94">
        <w:rPr>
          <w:noProof/>
        </w:rPr>
        <w:t>20.</w:t>
      </w:r>
      <w:r w:rsidRPr="009C6B94">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258C679B" w14:textId="77777777" w:rsidR="009C6B94" w:rsidRPr="009C6B94" w:rsidRDefault="009C6B94" w:rsidP="009C6B94">
      <w:pPr>
        <w:pStyle w:val="EndNoteBibliography"/>
        <w:rPr>
          <w:noProof/>
        </w:rPr>
      </w:pPr>
      <w:r w:rsidRPr="009C6B94">
        <w:rPr>
          <w:noProof/>
        </w:rPr>
        <w:t>21.</w:t>
      </w:r>
      <w:r w:rsidRPr="009C6B94">
        <w:rPr>
          <w:noProof/>
        </w:rPr>
        <w:tab/>
        <w:t>Wang, C.J., Ng, C.Y., Brook, R.H.: Response to COVID-19 in Taiwan: Big Data Analytics, New Technology, and Proactive Testing. JAMA 323, 1341-1342 (2020) 10.1001/jama.2020.3151</w:t>
      </w:r>
    </w:p>
    <w:p w14:paraId="4A821CCC" w14:textId="68E56532" w:rsidR="009C6B94" w:rsidRPr="009C6B94" w:rsidRDefault="009C6B94" w:rsidP="009C6B94">
      <w:pPr>
        <w:pStyle w:val="EndNoteBibliography"/>
        <w:rPr>
          <w:noProof/>
        </w:rPr>
      </w:pPr>
      <w:r w:rsidRPr="009C6B94">
        <w:rPr>
          <w:noProof/>
        </w:rPr>
        <w:t>22.</w:t>
      </w:r>
      <w:r w:rsidRPr="009C6B94">
        <w:rPr>
          <w:noProof/>
        </w:rPr>
        <w:tab/>
        <w:t xml:space="preserve">Zhou, C., Su, F., Pei, T., Zhang, A., Du, Y., Luo, B., Cao, Z., Wang, J., Yuan, W., Zhu, Y., Song, C., Chen, J., Xu, J., Li, F., Ma, T., Jiang, L., Yan, F., Yi, J., Hu, Y., Liao, Y., Xiao, H.: COVID-19: Challenges to GIS with Big Data. Geography and Sustainability 1, 77-87 (2020) </w:t>
      </w:r>
      <w:hyperlink r:id="rId34" w:history="1">
        <w:r w:rsidRPr="009C6B94">
          <w:rPr>
            <w:rStyle w:val="Hyperlink"/>
            <w:noProof/>
          </w:rPr>
          <w:t>https://doi.org/10.1016/j.geosus.2020.03.005</w:t>
        </w:r>
      </w:hyperlink>
    </w:p>
    <w:p w14:paraId="4A8C4B13" w14:textId="14515257" w:rsidR="009C6B94" w:rsidRPr="009C6B94" w:rsidRDefault="009C6B94" w:rsidP="009C6B94">
      <w:pPr>
        <w:pStyle w:val="EndNoteBibliography"/>
        <w:rPr>
          <w:noProof/>
        </w:rPr>
      </w:pPr>
      <w:r w:rsidRPr="009C6B94">
        <w:rPr>
          <w:noProof/>
        </w:rPr>
        <w:t>23.</w:t>
      </w:r>
      <w:r w:rsidRPr="009C6B94">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5" w:history="1">
        <w:r w:rsidRPr="009C6B94">
          <w:rPr>
            <w:rStyle w:val="Hyperlink"/>
            <w:noProof/>
          </w:rPr>
          <w:t>https://doi.org/10.1016/j.ssci.2020.104773</w:t>
        </w:r>
      </w:hyperlink>
    </w:p>
    <w:p w14:paraId="5D2311EA" w14:textId="4B356ECA" w:rsidR="009C6B94" w:rsidRPr="009C6B94" w:rsidRDefault="009C6B94" w:rsidP="009C6B94">
      <w:pPr>
        <w:pStyle w:val="EndNoteBibliography"/>
        <w:rPr>
          <w:noProof/>
        </w:rPr>
      </w:pPr>
      <w:r w:rsidRPr="009C6B94">
        <w:rPr>
          <w:noProof/>
        </w:rPr>
        <w:t>24.</w:t>
      </w:r>
      <w:r w:rsidRPr="009C6B94">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36" w:history="1">
        <w:r w:rsidRPr="009C6B94">
          <w:rPr>
            <w:rStyle w:val="Hyperlink"/>
            <w:noProof/>
          </w:rPr>
          <w:t>https://doi.org/10.1101/2020.03.24.20042291</w:t>
        </w:r>
      </w:hyperlink>
    </w:p>
    <w:p w14:paraId="72268EF0" w14:textId="77777777" w:rsidR="009C6B94" w:rsidRPr="009C6B94" w:rsidRDefault="009C6B94" w:rsidP="009C6B94">
      <w:pPr>
        <w:pStyle w:val="EndNoteBibliography"/>
        <w:rPr>
          <w:noProof/>
        </w:rPr>
      </w:pPr>
      <w:r w:rsidRPr="009C6B94">
        <w:rPr>
          <w:noProof/>
        </w:rPr>
        <w:t>25.</w:t>
      </w:r>
      <w:r w:rsidRPr="009C6B94">
        <w:rPr>
          <w:noProof/>
        </w:rPr>
        <w:tab/>
        <w:t>Yin, J., Redovich, J.: Kinetic Modeling of Virus Growth in Cells. Microbiology and Molecular Biology Reviews 82, e00066-00017 (2018) 10.1128/MMBR.00066-17</w:t>
      </w:r>
    </w:p>
    <w:p w14:paraId="46A8A9BC" w14:textId="77777777" w:rsidR="009C6B94" w:rsidRPr="009C6B94" w:rsidRDefault="009C6B94" w:rsidP="009C6B94">
      <w:pPr>
        <w:pStyle w:val="EndNoteBibliography"/>
        <w:rPr>
          <w:noProof/>
        </w:rPr>
      </w:pPr>
      <w:r w:rsidRPr="009C6B94">
        <w:rPr>
          <w:noProof/>
        </w:rPr>
        <w:t>26.</w:t>
      </w:r>
      <w:r w:rsidRPr="009C6B94">
        <w:rPr>
          <w:noProof/>
        </w:rPr>
        <w:tab/>
        <w:t>Biebricher, C.K., Eigen, M., Gardiner, W.C.: Kinetics of ribonucleic acid replication. Biochemistry 22, 2544-2559 (1983) 10.1021/bi00279a036</w:t>
      </w:r>
    </w:p>
    <w:p w14:paraId="040D1708" w14:textId="69E4B164" w:rsidR="009C6B94" w:rsidRPr="009C6B94" w:rsidRDefault="009C6B94" w:rsidP="009C6B94">
      <w:pPr>
        <w:pStyle w:val="EndNoteBibliography"/>
        <w:rPr>
          <w:noProof/>
        </w:rPr>
      </w:pPr>
      <w:r w:rsidRPr="009C6B94">
        <w:rPr>
          <w:noProof/>
        </w:rPr>
        <w:t>27.</w:t>
      </w:r>
      <w:r w:rsidRPr="009C6B94">
        <w:rPr>
          <w:noProof/>
        </w:rPr>
        <w:tab/>
        <w:t xml:space="preserve">Richard Eiser, J., Bostrom, A., Burton, I., Johnston, D.M., McClure, J., Paton, D., van der Pligt, J., White, M.P.: Risk interpretation and action: A conceptual framework for responses to natural hazards. International Journal of Disaster Risk Reduction 1, 5-16 (2012) </w:t>
      </w:r>
      <w:hyperlink r:id="rId37" w:history="1">
        <w:r w:rsidRPr="009C6B94">
          <w:rPr>
            <w:rStyle w:val="Hyperlink"/>
            <w:noProof/>
          </w:rPr>
          <w:t>https://doi.org/10.1016/j.ijdrr.2012.05.002</w:t>
        </w:r>
      </w:hyperlink>
    </w:p>
    <w:p w14:paraId="797B7548" w14:textId="1A3BD2A7" w:rsidR="00A41CB4" w:rsidRDefault="0011114A">
      <w:r>
        <w:fldChar w:fldCharType="end"/>
      </w:r>
    </w:p>
    <w:sectPr w:rsidR="00A41CB4" w:rsidSect="00205CEC">
      <w:footerReference w:type="even" r:id="rId38"/>
      <w:footerReference w:type="default" r:id="rId3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D01584" w14:textId="77777777" w:rsidR="005F0145" w:rsidRDefault="005F0145" w:rsidP="00205CEC">
      <w:r>
        <w:separator/>
      </w:r>
    </w:p>
  </w:endnote>
  <w:endnote w:type="continuationSeparator" w:id="0">
    <w:p w14:paraId="30DECDAA" w14:textId="77777777" w:rsidR="005F0145" w:rsidRDefault="005F0145" w:rsidP="00205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Euclid Symbol">
    <w:panose1 w:val="02050102010706020507"/>
    <w:charset w:val="80"/>
    <w:family w:val="decorative"/>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808554"/>
      <w:docPartObj>
        <w:docPartGallery w:val="Page Numbers (Bottom of Page)"/>
        <w:docPartUnique/>
      </w:docPartObj>
    </w:sdtPr>
    <w:sdtEndPr>
      <w:rPr>
        <w:rStyle w:val="PageNumber"/>
      </w:rPr>
    </w:sdtEndPr>
    <w:sdtContent>
      <w:p w14:paraId="7D9D1CFC" w14:textId="06123BD5"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58A08" w14:textId="77777777" w:rsidR="00205CEC" w:rsidRDefault="00205CEC" w:rsidP="0020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839505"/>
      <w:docPartObj>
        <w:docPartGallery w:val="Page Numbers (Bottom of Page)"/>
        <w:docPartUnique/>
      </w:docPartObj>
    </w:sdtPr>
    <w:sdtEndPr>
      <w:rPr>
        <w:rStyle w:val="PageNumber"/>
      </w:rPr>
    </w:sdtEndPr>
    <w:sdtContent>
      <w:p w14:paraId="6AA52034" w14:textId="335B524B"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CDBBA9" w14:textId="77777777" w:rsidR="00205CEC" w:rsidRDefault="00205CEC" w:rsidP="0020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132331" w14:textId="77777777" w:rsidR="005F0145" w:rsidRDefault="005F0145" w:rsidP="00205CEC">
      <w:r>
        <w:separator/>
      </w:r>
    </w:p>
  </w:footnote>
  <w:footnote w:type="continuationSeparator" w:id="0">
    <w:p w14:paraId="7C58E244" w14:textId="77777777" w:rsidR="005F0145" w:rsidRDefault="005F0145" w:rsidP="00205CE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record-ids&gt;&lt;/item&gt;&lt;/Libraries&gt;"/>
  </w:docVars>
  <w:rsids>
    <w:rsidRoot w:val="0014064D"/>
    <w:rsid w:val="0000227E"/>
    <w:rsid w:val="00002DF1"/>
    <w:rsid w:val="00006C70"/>
    <w:rsid w:val="0004656E"/>
    <w:rsid w:val="0004675E"/>
    <w:rsid w:val="000702F7"/>
    <w:rsid w:val="000708E9"/>
    <w:rsid w:val="00077136"/>
    <w:rsid w:val="00081ED4"/>
    <w:rsid w:val="000A24CA"/>
    <w:rsid w:val="000A5341"/>
    <w:rsid w:val="000A5FD6"/>
    <w:rsid w:val="00101D01"/>
    <w:rsid w:val="0010500C"/>
    <w:rsid w:val="0011114A"/>
    <w:rsid w:val="00130C34"/>
    <w:rsid w:val="0014064D"/>
    <w:rsid w:val="00141EC7"/>
    <w:rsid w:val="001508F4"/>
    <w:rsid w:val="001932BB"/>
    <w:rsid w:val="001C76B6"/>
    <w:rsid w:val="001D3AEF"/>
    <w:rsid w:val="001E3962"/>
    <w:rsid w:val="00200EA8"/>
    <w:rsid w:val="00201C51"/>
    <w:rsid w:val="00205CEC"/>
    <w:rsid w:val="00211CDF"/>
    <w:rsid w:val="0024322C"/>
    <w:rsid w:val="00250AAA"/>
    <w:rsid w:val="002633A9"/>
    <w:rsid w:val="00275BBB"/>
    <w:rsid w:val="002B1595"/>
    <w:rsid w:val="002E6E35"/>
    <w:rsid w:val="003475CB"/>
    <w:rsid w:val="00386D10"/>
    <w:rsid w:val="004707EC"/>
    <w:rsid w:val="004C58E1"/>
    <w:rsid w:val="00580A50"/>
    <w:rsid w:val="00591EE7"/>
    <w:rsid w:val="005E07EF"/>
    <w:rsid w:val="005F0145"/>
    <w:rsid w:val="00615B64"/>
    <w:rsid w:val="006465EE"/>
    <w:rsid w:val="006978B2"/>
    <w:rsid w:val="006E17CC"/>
    <w:rsid w:val="00707395"/>
    <w:rsid w:val="007238FC"/>
    <w:rsid w:val="00760B56"/>
    <w:rsid w:val="007B048D"/>
    <w:rsid w:val="007B63DA"/>
    <w:rsid w:val="007D1E71"/>
    <w:rsid w:val="00831BED"/>
    <w:rsid w:val="00836B82"/>
    <w:rsid w:val="00837C60"/>
    <w:rsid w:val="00895D36"/>
    <w:rsid w:val="008A3669"/>
    <w:rsid w:val="008A56AF"/>
    <w:rsid w:val="008B7610"/>
    <w:rsid w:val="008C1006"/>
    <w:rsid w:val="008C58D6"/>
    <w:rsid w:val="008E1C44"/>
    <w:rsid w:val="008E2428"/>
    <w:rsid w:val="00905C25"/>
    <w:rsid w:val="00925DE6"/>
    <w:rsid w:val="00971C1E"/>
    <w:rsid w:val="00982B35"/>
    <w:rsid w:val="009B7339"/>
    <w:rsid w:val="009C03BC"/>
    <w:rsid w:val="009C6B94"/>
    <w:rsid w:val="009C70C1"/>
    <w:rsid w:val="009E453D"/>
    <w:rsid w:val="009F4214"/>
    <w:rsid w:val="00A41CB4"/>
    <w:rsid w:val="00A905F2"/>
    <w:rsid w:val="00AA6EE7"/>
    <w:rsid w:val="00AD39E5"/>
    <w:rsid w:val="00AE2502"/>
    <w:rsid w:val="00AE4C8A"/>
    <w:rsid w:val="00B05583"/>
    <w:rsid w:val="00B15680"/>
    <w:rsid w:val="00B16E3E"/>
    <w:rsid w:val="00B2575D"/>
    <w:rsid w:val="00B81293"/>
    <w:rsid w:val="00B9464A"/>
    <w:rsid w:val="00BA3A52"/>
    <w:rsid w:val="00C27C51"/>
    <w:rsid w:val="00C35442"/>
    <w:rsid w:val="00C35EF1"/>
    <w:rsid w:val="00CA3B20"/>
    <w:rsid w:val="00CA6E4C"/>
    <w:rsid w:val="00CB4CC3"/>
    <w:rsid w:val="00CC1644"/>
    <w:rsid w:val="00CE45E7"/>
    <w:rsid w:val="00CE6D85"/>
    <w:rsid w:val="00CF1226"/>
    <w:rsid w:val="00CF546D"/>
    <w:rsid w:val="00D30CA0"/>
    <w:rsid w:val="00D509E0"/>
    <w:rsid w:val="00D5526F"/>
    <w:rsid w:val="00D57DEA"/>
    <w:rsid w:val="00D767D6"/>
    <w:rsid w:val="00D815EE"/>
    <w:rsid w:val="00DE00A8"/>
    <w:rsid w:val="00E029E4"/>
    <w:rsid w:val="00E501A1"/>
    <w:rsid w:val="00E617A3"/>
    <w:rsid w:val="00E626CB"/>
    <w:rsid w:val="00E76A30"/>
    <w:rsid w:val="00EC0319"/>
    <w:rsid w:val="00EE6A1A"/>
    <w:rsid w:val="00F2641B"/>
    <w:rsid w:val="00F51803"/>
    <w:rsid w:val="00F639C0"/>
    <w:rsid w:val="00F63C94"/>
    <w:rsid w:val="00F95C6B"/>
    <w:rsid w:val="00FA4D34"/>
    <w:rsid w:val="00FA5E93"/>
    <w:rsid w:val="00FB389E"/>
    <w:rsid w:val="00FC0501"/>
    <w:rsid w:val="00FF430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 w:type="paragraph" w:styleId="Footer">
    <w:name w:val="footer"/>
    <w:basedOn w:val="Normal"/>
    <w:link w:val="FooterChar"/>
    <w:uiPriority w:val="99"/>
    <w:unhideWhenUsed/>
    <w:rsid w:val="00205CEC"/>
    <w:pPr>
      <w:tabs>
        <w:tab w:val="center" w:pos="4513"/>
        <w:tab w:val="right" w:pos="9026"/>
      </w:tabs>
    </w:pPr>
  </w:style>
  <w:style w:type="character" w:customStyle="1" w:styleId="FooterChar">
    <w:name w:val="Footer Char"/>
    <w:basedOn w:val="DefaultParagraphFont"/>
    <w:link w:val="Footer"/>
    <w:uiPriority w:val="99"/>
    <w:rsid w:val="00205CEC"/>
    <w:rPr>
      <w:lang w:val="en-AU"/>
    </w:rPr>
  </w:style>
  <w:style w:type="character" w:styleId="PageNumber">
    <w:name w:val="page number"/>
    <w:basedOn w:val="DefaultParagraphFont"/>
    <w:uiPriority w:val="99"/>
    <w:semiHidden/>
    <w:unhideWhenUsed/>
    <w:rsid w:val="00205C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210513">
      <w:bodyDiv w:val="1"/>
      <w:marLeft w:val="0"/>
      <w:marRight w:val="0"/>
      <w:marTop w:val="0"/>
      <w:marBottom w:val="0"/>
      <w:divBdr>
        <w:top w:val="none" w:sz="0" w:space="0" w:color="auto"/>
        <w:left w:val="none" w:sz="0" w:space="0" w:color="auto"/>
        <w:bottom w:val="none" w:sz="0" w:space="0" w:color="auto"/>
        <w:right w:val="none" w:sz="0" w:space="0" w:color="auto"/>
      </w:divBdr>
    </w:div>
    <w:div w:id="496581054">
      <w:bodyDiv w:val="1"/>
      <w:marLeft w:val="0"/>
      <w:marRight w:val="0"/>
      <w:marTop w:val="0"/>
      <w:marBottom w:val="0"/>
      <w:divBdr>
        <w:top w:val="none" w:sz="0" w:space="0" w:color="auto"/>
        <w:left w:val="none" w:sz="0" w:space="0" w:color="auto"/>
        <w:bottom w:val="none" w:sz="0" w:space="0" w:color="auto"/>
        <w:right w:val="none" w:sz="0" w:space="0" w:color="auto"/>
      </w:divBdr>
    </w:div>
    <w:div w:id="673991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hyperlink" Target="https://doi.org/10.1016/j.geosus.2020.03.005"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38/s41591-020-0883-7" TargetMode="External"/><Relationship Id="rId37" Type="http://schemas.openxmlformats.org/officeDocument/2006/relationships/hyperlink" Target="https://doi.org/10.1016/j.ijdrr.2012.05.002"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101/2020.03.24.2004229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16/j.ijid.2020.02.05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01/jama.2020.2648" TargetMode="External"/><Relationship Id="rId35" Type="http://schemas.openxmlformats.org/officeDocument/2006/relationships/hyperlink" Target="https://doi.org/10.1016/j.ssci.2020.104773"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16/S2214-109X(20)30074-7"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14</Pages>
  <Words>5746</Words>
  <Characters>32758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38428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John McCaskill</cp:lastModifiedBy>
  <cp:revision>51</cp:revision>
  <dcterms:created xsi:type="dcterms:W3CDTF">2020-05-18T06:36:00Z</dcterms:created>
  <dcterms:modified xsi:type="dcterms:W3CDTF">2020-08-13T08:08:00Z</dcterms:modified>
</cp:coreProperties>
</file>