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FEC5" w14:textId="06489C61" w:rsidR="00D767D6" w:rsidRPr="00D767D6" w:rsidRDefault="00D767D6">
      <w:pPr>
        <w:rPr>
          <w:b/>
          <w:bCs/>
        </w:rPr>
      </w:pPr>
      <w:r w:rsidRPr="00D767D6">
        <w:rPr>
          <w:b/>
          <w:bCs/>
        </w:rPr>
        <w:t xml:space="preserve">Caution coupling </w:t>
      </w:r>
      <w:r w:rsidR="00836B82">
        <w:rPr>
          <w:b/>
          <w:bCs/>
        </w:rPr>
        <w:t>explains linear phase of</w:t>
      </w:r>
      <w:r w:rsidRPr="00D767D6">
        <w:rPr>
          <w:b/>
          <w:bCs/>
        </w:rPr>
        <w:t xml:space="preserve"> Covid-19 curves</w:t>
      </w:r>
    </w:p>
    <w:p w14:paraId="2E4B0553" w14:textId="2E3F3761" w:rsidR="00D767D6" w:rsidRDefault="00D767D6">
      <w:r>
        <w:t>John S. McCaskill</w:t>
      </w:r>
    </w:p>
    <w:p w14:paraId="4A3C4AAC" w14:textId="22FC701B" w:rsidR="00D767D6" w:rsidRDefault="00D767D6">
      <w:r>
        <w:t>European Centre for Living Technology</w:t>
      </w:r>
      <w:r w:rsidR="00F95C6B">
        <w:t>, Venice, Italy</w:t>
      </w:r>
    </w:p>
    <w:p w14:paraId="0C8326F4" w14:textId="660C6C75" w:rsidR="002B1595" w:rsidRDefault="002B1595">
      <w:r>
        <w:t>Chemelion Inc.</w:t>
      </w:r>
      <w:r w:rsidR="00F95C6B">
        <w:t>, San Francisco, USA</w:t>
      </w:r>
    </w:p>
    <w:p w14:paraId="309A5640" w14:textId="77777777" w:rsidR="00D767D6" w:rsidRDefault="00D767D6"/>
    <w:p w14:paraId="77EFAAFC" w14:textId="5653289A" w:rsidR="0014064D" w:rsidRDefault="0014064D" w:rsidP="00EE6A1A">
      <w:pPr>
        <w:jc w:val="both"/>
      </w:pPr>
      <w:r>
        <w:t xml:space="preserve">Understanding of epidemics through modelling </w:t>
      </w:r>
      <w:r w:rsidR="0000227E">
        <w:t>i</w:t>
      </w:r>
      <w:r>
        <w:t xml:space="preserve">s gained both through highly simplified </w:t>
      </w:r>
      <w:r w:rsidR="002B1595">
        <w:t xml:space="preserve">population </w:t>
      </w:r>
      <w:r>
        <w:t xml:space="preserve">models such as the </w:t>
      </w:r>
      <w:r w:rsidR="00C27C51">
        <w:t xml:space="preserve">early </w:t>
      </w:r>
      <w:r>
        <w:t>SIR</w:t>
      </w:r>
      <w:r w:rsidR="00F95C6B">
        <w:t xml:space="preserve"> </w:t>
      </w:r>
      <w:r>
        <w:t>model</w:t>
      </w:r>
      <w:r w:rsidR="00F95C6B">
        <w:t>s</w:t>
      </w:r>
      <w:r w:rsidR="0011114A">
        <w:t xml:space="preserve"> </w: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 </w:instrTex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EN.CITE.DATA </w:instrText>
      </w:r>
      <w:r w:rsidR="0011114A">
        <w:fldChar w:fldCharType="end"/>
      </w:r>
      <w:r w:rsidR="0011114A">
        <w:fldChar w:fldCharType="separate"/>
      </w:r>
      <w:r w:rsidR="0011114A">
        <w:rPr>
          <w:noProof/>
        </w:rPr>
        <w:t>[1, 2]</w:t>
      </w:r>
      <w:r w:rsidR="0011114A">
        <w:fldChar w:fldCharType="end"/>
      </w:r>
      <w:r w:rsidR="00580A50">
        <w:t xml:space="preserve"> (distinguishing </w:t>
      </w:r>
      <w:r w:rsidR="00C27C51">
        <w:t>S</w:t>
      </w:r>
      <w:r w:rsidR="00580A50">
        <w:t>usceptible</w:t>
      </w:r>
      <w:r w:rsidR="00F95C6B">
        <w:t xml:space="preserve">, </w:t>
      </w:r>
      <w:r w:rsidR="00C27C51">
        <w:t>I</w:t>
      </w:r>
      <w:r w:rsidR="00580A50">
        <w:t>nfective</w:t>
      </w:r>
      <w:r w:rsidR="00F95C6B">
        <w:t xml:space="preserve">, and </w:t>
      </w:r>
      <w:r w:rsidR="00C27C51">
        <w:t>R</w:t>
      </w:r>
      <w:r w:rsidR="00580A50">
        <w:t xml:space="preserve">ecovered </w:t>
      </w:r>
      <w:r w:rsidR="00C27C51">
        <w:t>individual</w:t>
      </w:r>
      <w:r w:rsidR="00580A50">
        <w:t xml:space="preserve">s) </w:t>
      </w:r>
      <w:r>
        <w:t xml:space="preserve">and its extensions </w:t>
      </w:r>
      <w:r w:rsidR="002B1595">
        <w:t xml:space="preserve">both </w:t>
      </w:r>
      <w:r>
        <w:t>to more differentiated models like SEIR</w:t>
      </w:r>
      <w:r w:rsidR="00F95C6B">
        <w:t xml:space="preserve"> </w:t>
      </w:r>
      <w:r w:rsidR="00081ED4">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 </w:instrText>
      </w:r>
      <w:r w:rsidR="00FC0501">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EN.CITE.DATA </w:instrText>
      </w:r>
      <w:r w:rsidR="00FC0501">
        <w:fldChar w:fldCharType="end"/>
      </w:r>
      <w:r w:rsidR="00081ED4">
        <w:fldChar w:fldCharType="separate"/>
      </w:r>
      <w:r w:rsidR="00FC0501">
        <w:rPr>
          <w:noProof/>
        </w:rPr>
        <w:t>[3-6]</w:t>
      </w:r>
      <w:r w:rsidR="00081ED4">
        <w:fldChar w:fldCharType="end"/>
      </w:r>
      <w:r w:rsidR="00580A50">
        <w:t xml:space="preserve"> </w:t>
      </w:r>
      <w:r>
        <w:t>and SIDARTHE</w:t>
      </w:r>
      <w:r w:rsidR="0011114A">
        <w:t xml:space="preserve"> </w:t>
      </w:r>
      <w:r w:rsidR="0011114A">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 </w:instrText>
      </w:r>
      <w:r w:rsidR="00FC0501">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EN.CITE.DATA </w:instrText>
      </w:r>
      <w:r w:rsidR="00FC0501">
        <w:fldChar w:fldCharType="end"/>
      </w:r>
      <w:r w:rsidR="0011114A">
        <w:fldChar w:fldCharType="separate"/>
      </w:r>
      <w:r w:rsidR="00FC0501">
        <w:rPr>
          <w:noProof/>
        </w:rPr>
        <w:t>[7, 8]</w:t>
      </w:r>
      <w:r w:rsidR="0011114A">
        <w:fldChar w:fldCharType="end"/>
      </w:r>
      <w:r>
        <w:t xml:space="preserve">, </w:t>
      </w:r>
      <w:r w:rsidR="00077136">
        <w:t xml:space="preserve">and </w:t>
      </w:r>
      <w:r>
        <w:t xml:space="preserve">to include </w:t>
      </w:r>
      <w:r w:rsidR="00C27C51">
        <w:t xml:space="preserve">other </w:t>
      </w:r>
      <w:r>
        <w:t>population structure</w:t>
      </w:r>
      <w:r w:rsidR="00580A50">
        <w:t xml:space="preserve"> </w:t>
      </w:r>
      <w:r w:rsidR="00C27C51">
        <w:t xml:space="preserve">such as age </w:t>
      </w:r>
      <w:r w:rsidR="00081ED4">
        <w:t>with</w:t>
      </w:r>
      <w:r>
        <w:t xml:space="preserve"> a matrix of </w:t>
      </w:r>
      <w:r w:rsidR="00E617A3">
        <w:t xml:space="preserve">social mixing </w:t>
      </w:r>
      <w:r w:rsidR="00081ED4">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 </w:instrText>
      </w:r>
      <w:r w:rsidR="00FC0501">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EN.CITE.DATA </w:instrText>
      </w:r>
      <w:r w:rsidR="00FC0501">
        <w:fldChar w:fldCharType="end"/>
      </w:r>
      <w:r w:rsidR="00081ED4">
        <w:fldChar w:fldCharType="separate"/>
      </w:r>
      <w:r w:rsidR="00FC0501">
        <w:rPr>
          <w:noProof/>
        </w:rPr>
        <w:t>[9, 10]</w:t>
      </w:r>
      <w:r w:rsidR="00081ED4">
        <w:fldChar w:fldCharType="end"/>
      </w:r>
      <w:r>
        <w:t>, stochastic effects</w:t>
      </w:r>
      <w:r w:rsidR="00B2575D">
        <w:t xml:space="preserve"> </w: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 </w:instrTex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EN.CITE.DATA </w:instrText>
      </w:r>
      <w:r w:rsidR="00B2575D">
        <w:fldChar w:fldCharType="end"/>
      </w:r>
      <w:r w:rsidR="00B2575D">
        <w:fldChar w:fldCharType="separate"/>
      </w:r>
      <w:r w:rsidR="00B2575D">
        <w:rPr>
          <w:noProof/>
        </w:rPr>
        <w:t>[11, 12]</w:t>
      </w:r>
      <w:r w:rsidR="00B2575D">
        <w:fldChar w:fldCharType="end"/>
      </w:r>
      <w:r w:rsidR="00580A50">
        <w:t xml:space="preserve"> </w:t>
      </w:r>
      <w:r>
        <w:t xml:space="preserve">and spatial </w:t>
      </w:r>
      <w:r w:rsidR="00AD39E5">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 </w:instrText>
      </w:r>
      <w:r w:rsidR="00B2575D">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EN.CITE.DATA </w:instrText>
      </w:r>
      <w:r w:rsidR="00B2575D">
        <w:fldChar w:fldCharType="end"/>
      </w:r>
      <w:r w:rsidR="00AD39E5">
        <w:fldChar w:fldCharType="separate"/>
      </w:r>
      <w:r w:rsidR="00B2575D">
        <w:rPr>
          <w:noProof/>
        </w:rPr>
        <w:t>[13-15]</w:t>
      </w:r>
      <w:r w:rsidR="00AD39E5">
        <w:fldChar w:fldCharType="end"/>
      </w:r>
      <w:r w:rsidR="00580A50">
        <w:t xml:space="preserve"> </w:t>
      </w:r>
      <w:r w:rsidR="00C27C51">
        <w:t>or other</w:t>
      </w:r>
      <w:r>
        <w:t xml:space="preserve"> network structure</w:t>
      </w:r>
      <w:r w:rsidR="00580A50">
        <w:t xml:space="preserve"> </w:t>
      </w:r>
      <w:r w:rsidR="00B2575D">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 </w:instrText>
      </w:r>
      <w:r w:rsidR="00250AAA">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EN.CITE.DATA </w:instrText>
      </w:r>
      <w:r w:rsidR="00250AAA">
        <w:fldChar w:fldCharType="end"/>
      </w:r>
      <w:r w:rsidR="00B2575D">
        <w:fldChar w:fldCharType="separate"/>
      </w:r>
      <w:r w:rsidR="00250AAA">
        <w:rPr>
          <w:noProof/>
        </w:rPr>
        <w:t>[16-18]</w:t>
      </w:r>
      <w:r w:rsidR="00B2575D">
        <w:fldChar w:fldCharType="end"/>
      </w:r>
      <w:r>
        <w:t xml:space="preserve">. In addition, in </w:t>
      </w:r>
      <w:r w:rsidR="00077136">
        <w:t>connection with</w:t>
      </w:r>
      <w:r>
        <w:t xml:space="preserve"> </w:t>
      </w:r>
      <w:r w:rsidR="008C58D6">
        <w:t>detailed population data (</w:t>
      </w:r>
      <w:r>
        <w:t>big data</w:t>
      </w:r>
      <w:r w:rsidR="008C58D6">
        <w:t>)</w:t>
      </w:r>
      <w:r w:rsidR="00077136">
        <w:t xml:space="preserve"> </w:t>
      </w:r>
      <w:r w:rsidR="00982B35">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 </w:instrText>
      </w:r>
      <w:r w:rsidR="00201C51">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EN.CITE.DATA </w:instrText>
      </w:r>
      <w:r w:rsidR="00201C51">
        <w:fldChar w:fldCharType="end"/>
      </w:r>
      <w:r w:rsidR="00982B35">
        <w:fldChar w:fldCharType="separate"/>
      </w:r>
      <w:r w:rsidR="00201C51">
        <w:rPr>
          <w:noProof/>
        </w:rPr>
        <w:t>[19, 20]</w:t>
      </w:r>
      <w:r w:rsidR="00982B35">
        <w:fldChar w:fldCharType="end"/>
      </w:r>
      <w:r>
        <w:t>,</w:t>
      </w:r>
      <w:r w:rsidR="00CC1644">
        <w:t xml:space="preserve"> cause and effect can be </w:t>
      </w:r>
      <w:r w:rsidR="008C58D6">
        <w:t>analys</w:t>
      </w:r>
      <w:r w:rsidR="00CC1644">
        <w:t>ed in detailed agent models</w:t>
      </w:r>
      <w:r w:rsidR="00081ED4">
        <w:t xml:space="preserve"> </w: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 </w:instrTex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EN.CITE.DATA </w:instrText>
      </w:r>
      <w:r w:rsidR="00200EA8">
        <w:fldChar w:fldCharType="end"/>
      </w:r>
      <w:r w:rsidR="00200EA8">
        <w:fldChar w:fldCharType="separate"/>
      </w:r>
      <w:r w:rsidR="00200EA8">
        <w:rPr>
          <w:noProof/>
        </w:rPr>
        <w:t>[21, 22]</w:t>
      </w:r>
      <w:r w:rsidR="00200EA8">
        <w:fldChar w:fldCharType="end"/>
      </w:r>
      <w:r w:rsidR="00CC1644">
        <w:t xml:space="preserve">. </w:t>
      </w:r>
      <w:r w:rsidR="009E453D">
        <w:t xml:space="preserve">However, certain key features of the Covid-19 pandemic data </w:t>
      </w:r>
      <w:r w:rsidR="002B1595">
        <w:t>affecting us all have not been explained simply</w:t>
      </w:r>
      <w:r w:rsidR="009F4214">
        <w:t>.</w:t>
      </w:r>
      <w:r w:rsidR="009E453D">
        <w:t xml:space="preserve"> </w:t>
      </w:r>
      <w:r w:rsidR="009F4214">
        <w:t>I</w:t>
      </w:r>
      <w:r w:rsidR="009E453D">
        <w:t>n particular</w:t>
      </w:r>
      <w:r w:rsidR="009F4214">
        <w:t>,</w:t>
      </w:r>
      <w:r w:rsidR="009E453D">
        <w:t xml:space="preserve"> the remarkabl</w:t>
      </w:r>
      <w:r w:rsidR="008C58D6">
        <w:t xml:space="preserve">y common extended </w:t>
      </w:r>
      <w:r w:rsidR="009E453D">
        <w:t>linear</w:t>
      </w:r>
      <w:r w:rsidR="008C58D6">
        <w:t xml:space="preserve"> phase</w:t>
      </w:r>
      <w:r w:rsidR="009E453D">
        <w:t xml:space="preserve"> in </w:t>
      </w:r>
      <w:r w:rsidR="008C58D6">
        <w:t>countries’</w:t>
      </w:r>
      <w:r w:rsidR="009E453D">
        <w:t xml:space="preserve"> cumulative confirmed cases </w:t>
      </w:r>
      <w:r w:rsidR="009F4214">
        <w:t>is poorly understood</w:t>
      </w:r>
      <w:r w:rsidR="008C58D6">
        <w:t>.</w:t>
      </w:r>
      <w:r w:rsidR="009F4214">
        <w:t xml:space="preserve"> </w:t>
      </w:r>
      <w:r w:rsidR="008C58D6">
        <w:t>While</w:t>
      </w:r>
      <w:r w:rsidR="009F4214">
        <w:t xml:space="preserve"> small world </w:t>
      </w:r>
      <w:r w:rsidR="00F95C6B">
        <w:t xml:space="preserve">network </w:t>
      </w:r>
      <w:r w:rsidR="009F4214">
        <w:t>effect</w:t>
      </w:r>
      <w:r w:rsidR="00F95C6B">
        <w:t>s</w:t>
      </w:r>
      <w:r w:rsidR="009F4214">
        <w:t xml:space="preserve"> </w:t>
      </w:r>
      <w:r w:rsidR="00F95C6B">
        <w:t>may account for</w:t>
      </w:r>
      <w:r w:rsidR="002B1595">
        <w:t xml:space="preserve"> </w:t>
      </w:r>
      <w:r w:rsidR="00F95C6B">
        <w:t>non-exponential early growth</w:t>
      </w:r>
      <w:r w:rsidR="002B1595">
        <w:t xml:space="preserve"> </w:t>
      </w:r>
      <w:r w:rsidR="00D815EE">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D815EE">
        <w:fldChar w:fldCharType="separate"/>
      </w:r>
      <w:r w:rsidR="00B2575D">
        <w:rPr>
          <w:noProof/>
        </w:rPr>
        <w:t>[16]</w:t>
      </w:r>
      <w:r w:rsidR="00D815EE">
        <w:fldChar w:fldCharType="end"/>
      </w:r>
      <w:r w:rsidR="008C58D6">
        <w:t>, they do not</w:t>
      </w:r>
      <w:r w:rsidR="002B1595">
        <w:t xml:space="preserve"> </w:t>
      </w:r>
      <w:r w:rsidR="008C58D6">
        <w:t>explain</w:t>
      </w:r>
      <w:r w:rsidR="00F95C6B">
        <w:t xml:space="preserve"> the linear saturation effect</w:t>
      </w:r>
      <w:r w:rsidR="008C58D6">
        <w:t xml:space="preserve"> well below levels required for “herd immunity”</w:t>
      </w:r>
      <w:r w:rsidR="009F4214">
        <w:t xml:space="preserve">. </w:t>
      </w:r>
      <w:r w:rsidR="009E453D">
        <w:t xml:space="preserve">In this letter, we show that central features of this societal response complexity can </w:t>
      </w:r>
      <w:r w:rsidR="009F4214">
        <w:t xml:space="preserve">indeed </w:t>
      </w:r>
      <w:r w:rsidR="009E453D">
        <w:t>be understood using the S(E)IR</w:t>
      </w:r>
      <w:r w:rsidR="008C58D6">
        <w:t>(D)</w:t>
      </w:r>
      <w:r w:rsidR="009E453D">
        <w:t xml:space="preserve"> family of models by means of a </w:t>
      </w:r>
      <w:r w:rsidR="007B63DA">
        <w:t>single</w:t>
      </w:r>
      <w:r w:rsidR="009E453D">
        <w:t xml:space="preserve"> additional deterministic coupling, one reflecting societal introspection</w:t>
      </w:r>
      <w:r w:rsidR="00C27C51">
        <w:t>:</w:t>
      </w:r>
      <w:r w:rsidR="009E453D">
        <w:t xml:space="preserve"> </w:t>
      </w:r>
      <w:r w:rsidR="002B1595" w:rsidRPr="002B1595">
        <w:rPr>
          <w:i/>
          <w:iCs/>
        </w:rPr>
        <w:t>caution</w:t>
      </w:r>
      <w:r w:rsidR="009E453D">
        <w:t xml:space="preserve">. </w:t>
      </w:r>
      <w:r w:rsidR="00CC1644">
        <w:t xml:space="preserve">As society reacts to and endeavours to contain the </w:t>
      </w:r>
      <w:r w:rsidR="0000227E">
        <w:t>strong</w:t>
      </w:r>
      <w:r w:rsidR="00CC1644">
        <w:t xml:space="preserve"> effects of the Covid-19 virus on health, social well-being and the economy, it </w:t>
      </w:r>
      <w:r w:rsidR="009B7339">
        <w:t>may</w:t>
      </w:r>
      <w:r w:rsidR="00CC1644">
        <w:t xml:space="preserve"> appear that</w:t>
      </w:r>
      <w:r w:rsidR="007B63DA">
        <w:t xml:space="preserve"> </w:t>
      </w:r>
      <w:r w:rsidR="009B7339">
        <w:t>explanation requires</w:t>
      </w:r>
      <w:r w:rsidR="007B63DA">
        <w:t xml:space="preserve"> </w:t>
      </w:r>
      <w:r w:rsidR="00CC1644">
        <w:t xml:space="preserve">every aspect of society </w:t>
      </w:r>
      <w:r w:rsidR="009B7339">
        <w:t xml:space="preserve">to </w:t>
      </w:r>
      <w:r w:rsidR="00CC1644">
        <w:t>be modelled in detail</w:t>
      </w:r>
      <w:r w:rsidR="007B63DA">
        <w:t>:</w:t>
      </w:r>
      <w:r w:rsidR="00CC1644">
        <w:t xml:space="preserve"> from the use of public transport, religious practises and child play patterns to political decision making</w:t>
      </w:r>
      <w:r w:rsidR="00580A50">
        <w:t>, the media</w:t>
      </w:r>
      <w:r w:rsidR="00CC1644">
        <w:t xml:space="preserve"> and leg</w:t>
      </w:r>
      <w:r w:rsidR="00580A50">
        <w:t>islature</w:t>
      </w:r>
      <w:r w:rsidR="00B2575D">
        <w:fldChar w:fldCharType="begin"/>
      </w:r>
      <w:r w:rsidR="00200EA8">
        <w:instrText xml:space="preserve"> ADDIN EN.CITE &lt;EndNote&gt;&lt;Cite&gt;&lt;Author&gt;Bruinen de Bruin&lt;/Author&gt;&lt;Year&gt;2020&lt;/Year&gt;&lt;RecNum&gt;18&lt;/RecNum&gt;&lt;DisplayText&gt;[23]&lt;/DisplayText&gt;&lt;record&gt;&lt;rec-number&gt;18&lt;/rec-number&gt;&lt;foreign-keys&gt;&lt;key app="EN" db-id="pdvdwdpxbt9rxiedr06pz929t2ed5fatxsar" timestamp="1589971212"&gt;18&lt;/key&gt;&lt;/foreign-keys&gt;&lt;ref-type name="Journal Article"&gt;17&lt;/ref-type&gt;&lt;contributors&gt;&lt;authors&gt;&lt;author&gt;Bruinen de Bruin, Yuri&lt;/author&gt;&lt;author&gt;Lequarre, Anne-Sophie&lt;/author&gt;&lt;author&gt;McCourt, Josephine&lt;/author&gt;&lt;author&gt;Clevestig, Peter&lt;/author&gt;&lt;author&gt;Pigazzani, Filippo&lt;/author&gt;&lt;author&gt;Zare Jeddi, Maryam&lt;/author&gt;&lt;author&gt;Colosio, Claudio&lt;/author&gt;&lt;author&gt;Goulart, Margarida&lt;/author&gt;&lt;/authors&gt;&lt;/contributors&gt;&lt;titles&gt;&lt;title&gt;Initial impacts of global risk mitigation measures taken during the combatting of the COVID-19 pandemic&lt;/title&gt;&lt;secondary-title&gt;Safety Science&lt;/secondary-title&gt;&lt;/titles&gt;&lt;periodical&gt;&lt;full-title&gt;Safety Science&lt;/full-title&gt;&lt;/periodical&gt;&lt;pages&gt;104773&lt;/pages&gt;&lt;volume&gt;128&lt;/volume&gt;&lt;keywords&gt;&lt;keyword&gt;COVID-19&lt;/keyword&gt;&lt;keyword&gt;Risk mitigation measures&lt;/keyword&gt;&lt;keyword&gt;Corona virus&lt;/keyword&gt;&lt;keyword&gt;Public health&lt;/keyword&gt;&lt;keyword&gt;Mitigation impact&lt;/keyword&gt;&lt;keyword&gt;SARS-CoV-2&lt;/keyword&gt;&lt;/keywords&gt;&lt;dates&gt;&lt;year&gt;2020&lt;/year&gt;&lt;pub-dates&gt;&lt;date&gt;2020/08/01/&lt;/date&gt;&lt;/pub-dates&gt;&lt;/dates&gt;&lt;isbn&gt;0925-7535&lt;/isbn&gt;&lt;urls&gt;&lt;related-urls&gt;&lt;url&gt;http://www.sciencedirect.com/science/article/pii/S0925753520301703&lt;/url&gt;&lt;/related-urls&gt;&lt;/urls&gt;&lt;electronic-resource-num&gt;https://doi.org/10.1016/j.ssci.2020.104773&lt;/electronic-resource-num&gt;&lt;/record&gt;&lt;/Cite&gt;&lt;/EndNote&gt;</w:instrText>
      </w:r>
      <w:r w:rsidR="00B2575D">
        <w:fldChar w:fldCharType="separate"/>
      </w:r>
      <w:r w:rsidR="00200EA8">
        <w:rPr>
          <w:noProof/>
        </w:rPr>
        <w:t>[23]</w:t>
      </w:r>
      <w:r w:rsidR="00B2575D">
        <w:fldChar w:fldCharType="end"/>
      </w:r>
      <w:r w:rsidR="00CC1644">
        <w:t xml:space="preserve">. </w:t>
      </w:r>
      <w:r w:rsidR="002B1595">
        <w:t>However</w:t>
      </w:r>
      <w:r w:rsidR="00D767D6">
        <w:t xml:space="preserve">, </w:t>
      </w:r>
      <w:r w:rsidR="009B7339">
        <w:t xml:space="preserve">the prolonged near linear response both </w:t>
      </w:r>
      <w:r w:rsidR="00D767D6">
        <w:t>in the</w:t>
      </w:r>
      <w:r w:rsidR="002633A9">
        <w:t xml:space="preserve"> cumulative</w:t>
      </w:r>
      <w:r w:rsidR="00D767D6">
        <w:t xml:space="preserve"> </w:t>
      </w:r>
      <w:r w:rsidR="002633A9">
        <w:t>number of Corona cases as well as th</w:t>
      </w:r>
      <w:r w:rsidR="009B7339">
        <w:t>ose</w:t>
      </w:r>
      <w:r w:rsidR="002633A9">
        <w:t xml:space="preserve"> in individual populations can be understood as a generic human response to the epidemic in the age of information</w:t>
      </w:r>
      <w:r w:rsidR="002B1595">
        <w:t>.</w:t>
      </w:r>
      <w:r w:rsidR="002B1595" w:rsidRPr="002B1595">
        <w:t xml:space="preserve"> </w:t>
      </w:r>
      <w:r w:rsidR="002B1595">
        <w:t>This insight may in turn help us to focus societal measures and responses more effectively.</w:t>
      </w:r>
    </w:p>
    <w:p w14:paraId="4EE31733" w14:textId="0065669C" w:rsidR="00580A50" w:rsidRDefault="00580A50"/>
    <w:p w14:paraId="43E29570" w14:textId="16E37220" w:rsidR="00E626CB" w:rsidRDefault="009C03BC" w:rsidP="009C03BC">
      <w:pPr>
        <w:jc w:val="both"/>
      </w:pPr>
      <w:r>
        <w:t xml:space="preserve">In March 2020, a study in Oxford </w:t>
      </w:r>
      <w:r w:rsidR="00FC0501">
        <w:fldChar w:fldCharType="begin"/>
      </w:r>
      <w:r w:rsidR="00200EA8">
        <w:instrText xml:space="preserve"> ADDIN EN.CITE &lt;EndNote&gt;&lt;Cite&gt;&lt;Author&gt;Lourenco&lt;/Author&gt;&lt;Year&gt;2020&lt;/Year&gt;&lt;RecNum&gt;2&lt;/RecNum&gt;&lt;DisplayText&gt;[24]&lt;/DisplayText&gt;&lt;record&gt;&lt;rec-number&gt;2&lt;/rec-number&gt;&lt;foreign-keys&gt;&lt;key app="EN" db-id="pdvdwdpxbt9rxiedr06pz929t2ed5fatxsar" timestamp="1589883606"&gt;2&lt;/key&gt;&lt;/foreign-keys&gt;&lt;ref-type name="Journal Article"&gt;17&lt;/ref-type&gt;&lt;contributors&gt;&lt;authors&gt;&lt;author&gt;Lourenco, Jose&lt;/author&gt;&lt;author&gt;Paton, Robert&lt;/author&gt;&lt;author&gt;Ghafari, Mahan&lt;/author&gt;&lt;author&gt;Kraemer, Moritz&lt;/author&gt;&lt;author&gt;Thompson, Craig&lt;/author&gt;&lt;author&gt;Simmonds, Peter&lt;/author&gt;&lt;author&gt;Klenerman, Paul&lt;/author&gt;&lt;author&gt;Gupta, Sunetra&lt;/author&gt;&lt;/authors&gt;&lt;/contributors&gt;&lt;titles&gt;&lt;title&gt;Fundamental principles of epidemic spread highlight the immediate need for large-scale serological surveys to assess the stage of the SARS-CoV-2 epidemic&lt;/title&gt;&lt;secondary-title&gt;medRxiv&lt;/secondary-title&gt;&lt;/titles&gt;&lt;periodical&gt;&lt;full-title&gt;medRxiv&lt;/full-title&gt;&lt;/periodical&gt;&lt;dates&gt;&lt;year&gt;2020&lt;/year&gt;&lt;pub-dates&gt;&lt;date&gt;2020-01-01 00:00:00&lt;/date&gt;&lt;/pub-dates&gt;&lt;/dates&gt;&lt;urls&gt;&lt;/urls&gt;&lt;electronic-resource-num&gt;https://doi.org/10.1101/2020.03.24.20042291&lt;/electronic-resource-num&gt;&lt;/record&gt;&lt;/Cite&gt;&lt;/EndNote&gt;</w:instrText>
      </w:r>
      <w:r w:rsidR="00FC0501">
        <w:fldChar w:fldCharType="separate"/>
      </w:r>
      <w:r w:rsidR="00200EA8">
        <w:rPr>
          <w:noProof/>
        </w:rPr>
        <w:t>[24]</w:t>
      </w:r>
      <w:r w:rsidR="00FC0501">
        <w:fldChar w:fldCharType="end"/>
      </w:r>
      <w:r w:rsidR="00FC0501">
        <w:t xml:space="preserve"> </w:t>
      </w:r>
      <w:r>
        <w:t>suggested, using an SIR model, that a much larger portion of society may be infected than normally inferred from the testing data, which was biased to symptom carriers</w:t>
      </w:r>
      <w:r w:rsidR="00FC0501">
        <w:t>.</w:t>
      </w:r>
      <w:r>
        <w:t xml:space="preserve"> This was in-line with standard epidemiological modelling that relates the epidemic proliferation peak and subsequent decline to the advent of a significant fraction of the population becoming immune to the disease. </w:t>
      </w:r>
      <w:r w:rsidR="00E626CB">
        <w:t xml:space="preserve">Contemplating the linear global data, see Fig. 1, the author was struck by the similarities with bacterial viral proliferation kinetics inside a single cell and in evolution experiments </w:t>
      </w:r>
      <w:r w:rsidR="00E626CB" w:rsidRPr="009B7339">
        <w:rPr>
          <w:i/>
          <w:iCs/>
        </w:rPr>
        <w:t>in vitro</w:t>
      </w:r>
      <w:r w:rsidR="00E626CB">
        <w:t>, which systematically show exponential growth giving way to linear growth in the absence of immunity</w:t>
      </w:r>
      <w:r w:rsidR="009B7339">
        <w:t xml:space="preserve"> </w:t>
      </w:r>
      <w:r w:rsidR="009B7339" w:rsidRPr="009B7339">
        <w:rPr>
          <w:color w:val="FF0000"/>
        </w:rPr>
        <w:t>[Ref]</w:t>
      </w:r>
      <w:r w:rsidR="00E626CB">
        <w:t>. The fundamental reason for this is specific resource limitation, for example of the Q</w:t>
      </w:r>
      <w:r w:rsidR="006978B2">
        <w:t xml:space="preserve">ß viral </w:t>
      </w:r>
      <w:r w:rsidR="00E626CB">
        <w:t>replicase enzymes</w:t>
      </w:r>
      <w:r w:rsidR="006978B2">
        <w:t xml:space="preserve"> responsible for copying the RNA viral genome</w:t>
      </w:r>
      <w:r w:rsidR="009B7339">
        <w:t xml:space="preserve"> </w:t>
      </w:r>
      <w:r w:rsidR="009B7339" w:rsidRPr="009B7339">
        <w:rPr>
          <w:color w:val="FF0000"/>
        </w:rPr>
        <w:t>[Ref]</w:t>
      </w:r>
      <w:r w:rsidR="006978B2">
        <w:t>. This is, like the nesting site limitation in bird populations, a straightforward thing: when most replicase enzymes are occupied in the copying process with a particular RNA genome, they are not available for proliferation of other RNA, and the throughput of copied RNA becomes a constant, limited by the throughput of such cop</w:t>
      </w:r>
      <w:r w:rsidR="009B7339">
        <w:t>ying</w:t>
      </w:r>
      <w:r w:rsidR="006978B2">
        <w:t xml:space="preserve"> enzymes.</w:t>
      </w:r>
      <w:r w:rsidR="00591EE7">
        <w:t xml:space="preserve"> The author wondered if a </w:t>
      </w:r>
      <w:r w:rsidR="009B7339">
        <w:t>related</w:t>
      </w:r>
      <w:r w:rsidR="00591EE7">
        <w:t xml:space="preserve"> mechanism could account for the observed linear growth phase for Covid-19 in societies shown in Fig. 1.</w:t>
      </w:r>
    </w:p>
    <w:p w14:paraId="2E9DE14F" w14:textId="79D96990" w:rsidR="009C70C1" w:rsidRDefault="009C70C1" w:rsidP="009C03BC">
      <w:pPr>
        <w:jc w:val="both"/>
      </w:pPr>
    </w:p>
    <w:p w14:paraId="24B3BFA9" w14:textId="69D2298D" w:rsidR="009C70C1" w:rsidRDefault="009C70C1" w:rsidP="009C03BC">
      <w:pPr>
        <w:jc w:val="both"/>
      </w:pPr>
      <w:r>
        <w:t xml:space="preserve">We add </w:t>
      </w:r>
      <w:r w:rsidR="00F639C0">
        <w:t xml:space="preserve">an </w:t>
      </w:r>
      <w:r>
        <w:t xml:space="preserve">endogenous </w:t>
      </w:r>
      <w:r w:rsidR="00F639C0">
        <w:t xml:space="preserve">informed </w:t>
      </w:r>
      <w:r>
        <w:t xml:space="preserve">human cautionary response to simple compartmentalized models in the following way. </w:t>
      </w:r>
      <w:r w:rsidR="00B9464A">
        <w:t>We split the population of susceptible individuals S into two classes S and S</w:t>
      </w:r>
      <w:r w:rsidR="00B9464A" w:rsidRPr="00B9464A">
        <w:rPr>
          <w:vertAlign w:val="subscript"/>
        </w:rPr>
        <w:t>c</w:t>
      </w:r>
      <w:r w:rsidR="00B9464A">
        <w:t xml:space="preserve">, the former acting unaffectedly and hence experiencing exposure to the virus </w:t>
      </w:r>
      <w:r w:rsidR="00B9464A">
        <w:lastRenderedPageBreak/>
        <w:t>at the initial rate, the latter exercising informed caution and hence reducing their exposure to the virus by a factor c</w:t>
      </w:r>
      <w:r w:rsidR="00B9464A" w:rsidRPr="00B9464A">
        <w:rPr>
          <w:vertAlign w:val="subscript"/>
        </w:rPr>
        <w:t>0</w:t>
      </w:r>
      <w:r w:rsidR="00B9464A">
        <w:t xml:space="preserve">&lt;1. </w:t>
      </w:r>
      <w:r>
        <w:t xml:space="preserve">We </w:t>
      </w:r>
      <w:r w:rsidR="00B9464A">
        <w:t xml:space="preserve">then </w:t>
      </w:r>
      <w:r>
        <w:t>identify the subpopulation</w:t>
      </w:r>
      <w:r w:rsidR="00FA4D34">
        <w:t xml:space="preserve"> </w:t>
      </w:r>
      <w:r w:rsidR="0024322C">
        <w:t xml:space="preserve">C </w:t>
      </w:r>
      <w:r w:rsidR="00FA4D34">
        <w:t>in the deterministic population model most indicative of the negative impact of the disease for the population</w:t>
      </w:r>
      <w:r w:rsidR="00D57DEA">
        <w:t>, as the trigger for this response</w:t>
      </w:r>
      <w:r w:rsidR="00FA4D34">
        <w:t xml:space="preserve">. For example, in the case of the simple SIR model, it is the class </w:t>
      </w:r>
      <w:r w:rsidR="0024322C">
        <w:t>C=</w:t>
      </w:r>
      <w:r w:rsidR="00FA4D34">
        <w:t xml:space="preserve">I of infected individuals, and </w:t>
      </w:r>
      <w:r w:rsidR="00F639C0">
        <w:t xml:space="preserve">more realistically </w:t>
      </w:r>
      <w:r w:rsidR="00FA4D34">
        <w:t>in the SEI3R model, which adds an exposed class E of not yet infectious individuals and two additional classes I</w:t>
      </w:r>
      <w:r w:rsidR="00FA4D34" w:rsidRPr="00FA4D34">
        <w:rPr>
          <w:vertAlign w:val="subscript"/>
        </w:rPr>
        <w:t>2</w:t>
      </w:r>
      <w:r w:rsidR="00FA4D34">
        <w:t xml:space="preserve"> and I</w:t>
      </w:r>
      <w:r w:rsidR="00FA4D34">
        <w:rPr>
          <w:vertAlign w:val="subscript"/>
        </w:rPr>
        <w:t xml:space="preserve">3 </w:t>
      </w:r>
      <w:r w:rsidR="00FA4D34">
        <w:t xml:space="preserve">of infectious individuals (in hospital and in intensive care respectively), it is the class </w:t>
      </w:r>
      <w:r w:rsidR="0024322C">
        <w:t>C=</w:t>
      </w:r>
      <w:r w:rsidR="00FA4D34">
        <w:t>I</w:t>
      </w:r>
      <w:r w:rsidR="00FA4D34">
        <w:rPr>
          <w:vertAlign w:val="subscript"/>
        </w:rPr>
        <w:t xml:space="preserve">3.  </w:t>
      </w:r>
      <w:r w:rsidR="00FA4D34">
        <w:t xml:space="preserve">Although </w:t>
      </w:r>
      <w:r w:rsidR="00F639C0">
        <w:t xml:space="preserve">one may expect that </w:t>
      </w:r>
      <w:r w:rsidR="00FA4D34">
        <w:t xml:space="preserve">the number of deaths also dramatically influences the execution of caution, it is a cumulative category which does not reflect the current situation as </w:t>
      </w:r>
      <w:r w:rsidR="007238FC">
        <w:t xml:space="preserve">does </w:t>
      </w:r>
      <w:r w:rsidR="00FA4D34">
        <w:t>I or I</w:t>
      </w:r>
      <w:r w:rsidR="00FA4D34">
        <w:rPr>
          <w:vertAlign w:val="subscript"/>
        </w:rPr>
        <w:t>3</w:t>
      </w:r>
      <w:r w:rsidR="00FA4D34">
        <w:t xml:space="preserve">. In fact, the daily number of deaths would be an appropriate </w:t>
      </w:r>
      <w:proofErr w:type="gramStart"/>
      <w:r w:rsidR="00FA4D34">
        <w:t>indicator</w:t>
      </w:r>
      <w:proofErr w:type="gramEnd"/>
      <w:r w:rsidR="00FA4D34">
        <w:t xml:space="preserve"> </w:t>
      </w:r>
      <w:r w:rsidR="00F639C0">
        <w:t>but this</w:t>
      </w:r>
      <w:r w:rsidR="00FA4D34">
        <w:t xml:space="preserve"> is </w:t>
      </w:r>
      <w:r w:rsidR="00F639C0">
        <w:t>simply</w:t>
      </w:r>
      <w:r w:rsidR="007238FC">
        <w:t xml:space="preserve"> </w:t>
      </w:r>
      <w:r w:rsidR="00FA4D34">
        <w:t xml:space="preserve">proportional to I in the </w:t>
      </w:r>
      <w:r w:rsidR="00D57DEA">
        <w:t>SIR model and I</w:t>
      </w:r>
      <w:r w:rsidR="00D57DEA">
        <w:rPr>
          <w:vertAlign w:val="subscript"/>
        </w:rPr>
        <w:t>3</w:t>
      </w:r>
      <w:r w:rsidR="00D57DEA">
        <w:t xml:space="preserve"> in the SEI3R model.</w:t>
      </w:r>
    </w:p>
    <w:p w14:paraId="75A4F2E3" w14:textId="5406ED64" w:rsidR="00D57DEA" w:rsidRDefault="00D57DEA" w:rsidP="009C03BC">
      <w:pPr>
        <w:jc w:val="both"/>
      </w:pPr>
    </w:p>
    <w:p w14:paraId="45FFD7F0" w14:textId="636B1714" w:rsidR="00B9464A" w:rsidRDefault="00D57DEA" w:rsidP="009C03BC">
      <w:pPr>
        <w:jc w:val="both"/>
      </w:pPr>
      <w:r>
        <w:t>To capture the response to this cautionary trigger</w:t>
      </w:r>
      <w:r w:rsidR="007238FC">
        <w:t>,</w:t>
      </w:r>
      <w:r>
        <w:t xml:space="preserve"> we </w:t>
      </w:r>
      <w:r w:rsidR="00760B56">
        <w:t xml:space="preserve">first </w:t>
      </w:r>
      <w:r w:rsidR="00B9464A">
        <w:t>employ</w:t>
      </w:r>
      <w:r>
        <w:t xml:space="preserve"> a simple </w:t>
      </w:r>
      <w:r w:rsidR="00F639C0">
        <w:t xml:space="preserve">reaction mechanism: a </w:t>
      </w:r>
      <w:r>
        <w:t xml:space="preserve">reversible caution binding mechanism. </w:t>
      </w:r>
      <w:r w:rsidR="00B9464A">
        <w:t xml:space="preserve">As we will see below, we could also use a threshold trigger response familiar in nerve cells. </w:t>
      </w:r>
      <w:r>
        <w:t xml:space="preserve">The simple reversible caution model involves </w:t>
      </w:r>
      <w:r w:rsidR="00F639C0">
        <w:t xml:space="preserve">both </w:t>
      </w:r>
      <w:r>
        <w:t xml:space="preserve">a transition of unaffected susceptible individuals </w:t>
      </w:r>
      <w:r w:rsidR="007238FC">
        <w:t xml:space="preserve">S </w:t>
      </w:r>
      <w:r>
        <w:t>to cautious individuals</w:t>
      </w:r>
      <w:r w:rsidR="007238FC">
        <w:t xml:space="preserve"> S</w:t>
      </w:r>
      <w:r w:rsidR="007238FC" w:rsidRPr="007238FC">
        <w:rPr>
          <w:vertAlign w:val="subscript"/>
        </w:rPr>
        <w:t>c</w:t>
      </w:r>
      <w:r>
        <w:t xml:space="preserve">, </w:t>
      </w:r>
      <w:r w:rsidR="007238FC">
        <w:t xml:space="preserve">with a rate </w:t>
      </w:r>
      <w:r>
        <w:t>proportional to the product of their densities in the population (as in the law of mass action for chemical interactions</w:t>
      </w:r>
      <w:r w:rsidR="00F639C0">
        <w:t>,</w:t>
      </w:r>
      <w:r>
        <w:t xml:space="preserve"> </w:t>
      </w:r>
      <w:r w:rsidR="007238FC">
        <w:t>this</w:t>
      </w:r>
      <w:r>
        <w:t xml:space="preserve"> captures the frequency of interactions), as well as a reverse transition from cautious individuals to individuals acting unaffectedly, proportional to the density of cautious individuals (</w:t>
      </w:r>
      <w:r w:rsidR="00895D36">
        <w:t>resulting</w:t>
      </w:r>
      <w:r>
        <w:t xml:space="preserve"> in a natural </w:t>
      </w:r>
      <w:r w:rsidR="00895D36">
        <w:t xml:space="preserve">single exponential </w:t>
      </w:r>
      <w:r>
        <w:t>decay of caution</w:t>
      </w:r>
      <w:r w:rsidR="00895D36">
        <w:t xml:space="preserve"> in time). The mechanism and equations of two representative endogenous caution models are shown in Fig. </w:t>
      </w:r>
      <w:r w:rsidR="00C35442">
        <w:t>2</w:t>
      </w:r>
      <w:r w:rsidR="00895D36">
        <w:t xml:space="preserve">. Note that </w:t>
      </w:r>
      <w:r w:rsidR="0024322C">
        <w:t xml:space="preserve">in this </w:t>
      </w:r>
      <w:r w:rsidR="00F639C0">
        <w:t>first approach</w:t>
      </w:r>
      <w:r w:rsidR="0024322C">
        <w:t xml:space="preserve">, </w:t>
      </w:r>
      <w:r w:rsidR="00895D36">
        <w:t xml:space="preserve">we do not distinguish between cautious and </w:t>
      </w:r>
      <w:r w:rsidR="00F639C0">
        <w:t>non-</w:t>
      </w:r>
      <w:r w:rsidR="00895D36">
        <w:t xml:space="preserve">cautious exposed or infected individuals I. </w:t>
      </w:r>
      <w:r w:rsidR="0024322C">
        <w:t>We have tested the impact of making this distinction in a second set of models</w:t>
      </w:r>
      <w:r w:rsidR="00F639C0">
        <w:t xml:space="preserve">, also shown in Fig. </w:t>
      </w:r>
      <w:r w:rsidR="00C35442">
        <w:t>2</w:t>
      </w:r>
      <w:r w:rsidR="0024322C">
        <w:t>, which share the prediction of a linear phase</w:t>
      </w:r>
      <w:r w:rsidR="00760B56">
        <w:t>, with a stronger impact of caution</w:t>
      </w:r>
      <w:r w:rsidR="0024322C">
        <w:t xml:space="preserve">. </w:t>
      </w:r>
      <w:r w:rsidR="00895D36">
        <w:t xml:space="preserve">Once in hospital we assume naturally that all individuals are exercising </w:t>
      </w:r>
      <w:r w:rsidR="0024322C">
        <w:t>(</w:t>
      </w:r>
      <w:r w:rsidR="00895D36">
        <w:t>or having exercised for them</w:t>
      </w:r>
      <w:r w:rsidR="0024322C">
        <w:t xml:space="preserve"> by hospital staff)</w:t>
      </w:r>
      <w:r w:rsidR="00895D36">
        <w:t xml:space="preserve"> a significant degree of caution.</w:t>
      </w:r>
      <w:r w:rsidR="007238FC">
        <w:t xml:space="preserve"> </w:t>
      </w:r>
    </w:p>
    <w:p w14:paraId="6FC0F3C0" w14:textId="77777777" w:rsidR="00B9464A" w:rsidRDefault="00B9464A" w:rsidP="009C03BC">
      <w:pPr>
        <w:jc w:val="both"/>
      </w:pPr>
    </w:p>
    <w:p w14:paraId="187A821A" w14:textId="7037D60B" w:rsidR="00D57DEA" w:rsidRDefault="00F639C0" w:rsidP="009C03BC">
      <w:pPr>
        <w:jc w:val="both"/>
      </w:pPr>
      <w:r>
        <w:t>An alternative</w:t>
      </w:r>
      <w:r w:rsidR="007238FC">
        <w:t xml:space="preserve"> threshold trigger response replaces the product law by a threshold activation rate </w:t>
      </w:r>
      <w:r w:rsidR="0024322C">
        <w:t xml:space="preserve">of the form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m:t>
                </m:r>
                <m:r>
                  <w:rPr>
                    <w:rFonts w:ascii="Cambria Math" w:hAnsi="Cambria Math"/>
                  </w:rPr>
                  <m:t>α</m:t>
                </m:r>
                <m:r>
                  <w:rPr>
                    <w:rFonts w:ascii="Cambria Math" w:hAnsi="Cambria Math"/>
                  </w:rPr>
                  <m:t>x</m:t>
                </m:r>
              </m:sup>
            </m:sSup>
          </m:den>
        </m:f>
      </m:oMath>
      <w:r w:rsidR="0024322C">
        <w:rPr>
          <w:rFonts w:eastAsiaTheme="minorEastAsia"/>
        </w:rPr>
        <w:t xml:space="preserve"> where </w:t>
      </w:r>
      <m:oMath>
        <m:r>
          <w:rPr>
            <w:rFonts w:ascii="Cambria Math" w:eastAsiaTheme="minorEastAsia" w:hAnsi="Cambria Math"/>
          </w:rPr>
          <m:t>x</m:t>
        </m:r>
      </m:oMath>
      <w:r w:rsidR="0024322C">
        <w:rPr>
          <w:rFonts w:eastAsiaTheme="minorEastAsia"/>
        </w:rPr>
        <w:t xml:space="preserve"> is the </w:t>
      </w:r>
      <w:r w:rsidR="00760B56">
        <w:rPr>
          <w:rFonts w:eastAsiaTheme="minorEastAsia"/>
        </w:rPr>
        <w:t xml:space="preserve">difference between the </w:t>
      </w:r>
      <w:proofErr w:type="spellStart"/>
      <w:r w:rsidR="00760B56">
        <w:rPr>
          <w:rFonts w:eastAsiaTheme="minorEastAsia"/>
        </w:rPr>
        <w:t>endogeneous</w:t>
      </w:r>
      <w:proofErr w:type="spellEnd"/>
      <w:r w:rsidR="00760B56">
        <w:rPr>
          <w:rFonts w:eastAsiaTheme="minorEastAsia"/>
        </w:rPr>
        <w:t xml:space="preserve"> cautionary trigger signal introduced above and a threshold value (e.g. 25% of hospital ICUs being occupied)</w:t>
      </w:r>
      <w:r>
        <w:rPr>
          <w:rFonts w:eastAsiaTheme="minorEastAsia"/>
        </w:rPr>
        <w:t xml:space="preserve"> and </w:t>
      </w:r>
      <m:oMath>
        <m:r>
          <w:rPr>
            <w:rFonts w:ascii="Cambria Math" w:eastAsiaTheme="minorEastAsia" w:hAnsi="Cambria Math"/>
          </w:rPr>
          <m:t>α</m:t>
        </m:r>
      </m:oMath>
      <w:r w:rsidR="00760B56">
        <w:rPr>
          <w:rFonts w:eastAsiaTheme="minorEastAsia"/>
        </w:rPr>
        <w:t xml:space="preserve"> </w:t>
      </w:r>
      <w:r>
        <w:rPr>
          <w:rFonts w:eastAsiaTheme="minorEastAsia"/>
        </w:rPr>
        <w:t>describes the sharpness of the transition. While this may be required to fit accurately the sudden press amplified responses to reports of rising death tolls</w:t>
      </w:r>
      <w:r w:rsidR="001C76B6">
        <w:rPr>
          <w:rFonts w:eastAsiaTheme="minorEastAsia"/>
        </w:rPr>
        <w:t>, it is not essential to explain the observed long linear response phases.</w:t>
      </w:r>
    </w:p>
    <w:p w14:paraId="0BA0CB22" w14:textId="241A3606" w:rsidR="00760B56" w:rsidRDefault="00760B56" w:rsidP="009C03BC">
      <w:pPr>
        <w:jc w:val="both"/>
      </w:pPr>
    </w:p>
    <w:p w14:paraId="28CE0A25" w14:textId="14D50ABB" w:rsidR="00D57DEA" w:rsidRPr="00D57DEA" w:rsidRDefault="001C76B6" w:rsidP="009C03BC">
      <w:pPr>
        <w:jc w:val="both"/>
      </w:pPr>
      <w:r>
        <w:t xml:space="preserve">We employed a straightforward python-based modelling strategy making use of either direct ordinary differential equation encoding and the </w:t>
      </w:r>
      <w:proofErr w:type="spellStart"/>
      <w:r>
        <w:t>lmfit</w:t>
      </w:r>
      <w:proofErr w:type="spellEnd"/>
      <w:r>
        <w:t xml:space="preserve"> package or the modelling package </w:t>
      </w:r>
      <w:proofErr w:type="spellStart"/>
      <w:r>
        <w:t>GomPy</w:t>
      </w:r>
      <w:proofErr w:type="spellEnd"/>
      <w:r>
        <w:t xml:space="preserve"> with its interface to the SciPy minimize fitting procedure via least squares. The results of our modelling are shown, firstly for representative variation of the caution parameters </w:t>
      </w:r>
      <w:r>
        <w:t xml:space="preserve">in Fig. </w:t>
      </w:r>
      <w:r w:rsidR="00C35442">
        <w:t>3</w:t>
      </w:r>
      <w:r>
        <w:t xml:space="preserve">, showing the range of response forms that the model can account for and then fitted to the country response data shown in Fig. </w:t>
      </w:r>
      <w:r w:rsidR="00C35442">
        <w:t>4</w:t>
      </w:r>
      <w:r>
        <w:t>.</w:t>
      </w:r>
    </w:p>
    <w:p w14:paraId="6ABB5B88" w14:textId="77777777" w:rsidR="00EC0319" w:rsidRDefault="00EC0319" w:rsidP="009C03BC">
      <w:pPr>
        <w:jc w:val="both"/>
      </w:pPr>
    </w:p>
    <w:p w14:paraId="4D1E2D76" w14:textId="24EF9993" w:rsidR="009C03BC" w:rsidRDefault="009C70C1" w:rsidP="009C03BC">
      <w:pPr>
        <w:jc w:val="both"/>
      </w:pPr>
      <w:r>
        <w:t xml:space="preserve">This phenomenom is not restricted to US or Russian responses. </w:t>
      </w:r>
      <w:r w:rsidR="009C03BC">
        <w:t xml:space="preserve">Whereas some countries, </w:t>
      </w:r>
      <w:r w:rsidR="00E626CB">
        <w:t xml:space="preserve">with geographic advantages in isolation, by </w:t>
      </w:r>
      <w:r w:rsidR="009C03BC">
        <w:t xml:space="preserve">executing </w:t>
      </w:r>
      <w:r w:rsidR="00E626CB">
        <w:t xml:space="preserve">radical </w:t>
      </w:r>
      <w:r w:rsidR="009C03BC">
        <w:t>containment policies</w:t>
      </w:r>
      <w:r w:rsidR="00E626CB">
        <w:t xml:space="preserve">, have managed to </w:t>
      </w:r>
      <w:r w:rsidR="009B7339">
        <w:t>reduce</w:t>
      </w:r>
      <w:r w:rsidR="00E626CB">
        <w:t xml:space="preserve"> the Covid-19 virus</w:t>
      </w:r>
      <w:r w:rsidR="009B7339">
        <w:t xml:space="preserve"> to a </w:t>
      </w:r>
      <w:r w:rsidR="00EC0319">
        <w:t>very</w:t>
      </w:r>
      <w:r w:rsidR="009B7339">
        <w:t xml:space="preserve"> low level</w:t>
      </w:r>
      <w:r w:rsidR="00E626CB">
        <w:t>, the far more generic growth response is a transition from an exponential (or possibly power law</w:t>
      </w:r>
      <w:r w:rsidR="00B2575D">
        <w:t xml:space="preserve"> </w:t>
      </w:r>
      <w:r w:rsidR="00B2575D">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B2575D">
        <w:fldChar w:fldCharType="separate"/>
      </w:r>
      <w:r w:rsidR="00B2575D">
        <w:rPr>
          <w:noProof/>
        </w:rPr>
        <w:t>[16]</w:t>
      </w:r>
      <w:r w:rsidR="00B2575D">
        <w:fldChar w:fldCharType="end"/>
      </w:r>
      <w:r w:rsidR="00E626CB">
        <w:t xml:space="preserve">) phase to </w:t>
      </w:r>
      <w:r w:rsidR="00FF4300">
        <w:t xml:space="preserve">a relatively constant </w:t>
      </w:r>
      <w:r w:rsidR="006465EE">
        <w:t xml:space="preserve">rate of growth, </w:t>
      </w:r>
      <w:r w:rsidR="00EC0319">
        <w:t xml:space="preserve">often with 100s or 1000s of cases per day, </w:t>
      </w:r>
      <w:r w:rsidR="006465EE">
        <w:t>in some cases after an initial overshoot.</w:t>
      </w:r>
      <w:r w:rsidR="00EC0319">
        <w:t xml:space="preserve"> </w:t>
      </w:r>
      <w:r w:rsidR="00EC0319">
        <w:lastRenderedPageBreak/>
        <w:t>The generic linear phases of growth are surveyed in data taken from Johns Hopkins University database, using a rolling average over 7 days to remove prominent weekly variations in reporting and some fluctuations, in Fig 2 for the 10 most affected countries (US, Brazil,</w:t>
      </w:r>
      <w:r>
        <w:t xml:space="preserve"> </w:t>
      </w:r>
      <w:r w:rsidR="00EC0319">
        <w:t>Russia,</w:t>
      </w:r>
      <w:r>
        <w:t xml:space="preserve"> </w:t>
      </w:r>
      <w:r w:rsidR="00EC0319">
        <w:t>India,</w:t>
      </w:r>
      <w:r>
        <w:t xml:space="preserve"> </w:t>
      </w:r>
      <w:r w:rsidR="00EC0319">
        <w:t>UK,</w:t>
      </w:r>
      <w:r>
        <w:t xml:space="preserve"> </w:t>
      </w:r>
      <w:r w:rsidR="00EC0319">
        <w:t>Spain,</w:t>
      </w:r>
      <w:r>
        <w:t xml:space="preserve"> </w:t>
      </w:r>
      <w:r w:rsidR="00EC0319">
        <w:t>Italy,</w:t>
      </w:r>
      <w:r>
        <w:t xml:space="preserve"> </w:t>
      </w:r>
      <w:r w:rsidR="00EC0319">
        <w:t>Peru,</w:t>
      </w:r>
      <w:r>
        <w:t xml:space="preserve"> </w:t>
      </w:r>
      <w:r w:rsidR="00EC0319">
        <w:t>France,</w:t>
      </w:r>
      <w:r>
        <w:t xml:space="preserve"> and </w:t>
      </w:r>
      <w:r w:rsidR="00EC0319">
        <w:t>Iran) and six others selected because they represent a strong variety of government responses to the pandemic (</w:t>
      </w:r>
      <w:r>
        <w:t xml:space="preserve">Sweden, </w:t>
      </w:r>
      <w:r w:rsidR="00EC0319">
        <w:t xml:space="preserve">Germany, </w:t>
      </w:r>
      <w:r>
        <w:t>Netherlands</w:t>
      </w:r>
      <w:r w:rsidR="00EC0319">
        <w:t xml:space="preserve">, </w:t>
      </w:r>
      <w:r>
        <w:t xml:space="preserve">Poland </w:t>
      </w:r>
      <w:r w:rsidR="00EC0319">
        <w:t>South Korea, Australia</w:t>
      </w:r>
      <w:r>
        <w:t>)</w:t>
      </w:r>
      <w:r w:rsidR="00EC0319">
        <w:t xml:space="preserve">. </w:t>
      </w:r>
    </w:p>
    <w:p w14:paraId="6ED9BBB5" w14:textId="63459CE4" w:rsidR="00CF546D" w:rsidRDefault="00CF546D"/>
    <w:p w14:paraId="3E9410CB" w14:textId="2986D5C9" w:rsidR="00580A50" w:rsidRDefault="00580A50" w:rsidP="004707EC">
      <w:pPr>
        <w:jc w:val="both"/>
      </w:pPr>
      <w:r>
        <w:t>The simplest generic structure of epidemics, captured also by the SIR model</w:t>
      </w:r>
      <w:r w:rsidR="005E07EF">
        <w:t xml:space="preserve">, is initial exponential growth tempered by the rise of so-called herd-immunity in the population. </w:t>
      </w:r>
    </w:p>
    <w:p w14:paraId="5AC6B474" w14:textId="77777777" w:rsidR="004707EC" w:rsidRDefault="004707EC"/>
    <w:p w14:paraId="29F4E2B2" w14:textId="55B412A6" w:rsidR="00F95C6B" w:rsidRDefault="003475CB" w:rsidP="007D1E71">
      <w:pPr>
        <w:jc w:val="both"/>
      </w:pPr>
      <w:r>
        <w:t xml:space="preserve">We briefly address a potential critique of our result arising from limitations in the testing procedure. </w:t>
      </w:r>
      <w:r w:rsidR="007D1E71">
        <w:t>I</w:t>
      </w:r>
      <w:r>
        <w:t xml:space="preserve">f the number of available tests </w:t>
      </w:r>
      <w:r w:rsidR="007D1E71">
        <w:t>is</w:t>
      </w:r>
      <w:r>
        <w:t xml:space="preserve"> limited in a country, then this could result in a saturation in the number of confirmed cases</w:t>
      </w:r>
      <w:r w:rsidR="007D1E71">
        <w:t xml:space="preserve"> per day</w:t>
      </w:r>
      <w:r>
        <w:t>, resulting in an apparent linear growth</w:t>
      </w:r>
      <w:r w:rsidR="007D1E71">
        <w:t>. Although such limitations have occurred and are visible for example in the data from …, we argue that our overall conclusions are independent of this effect. Firstly, overall testing levels in a significant number of countries have exceeded by a large factor the number of positive cases. Secondly, the linear trend also occurs in the number of deaths. Thirdly, the number</w:t>
      </w:r>
      <w:r w:rsidR="007B048D">
        <w:t>s</w:t>
      </w:r>
      <w:r w:rsidR="007D1E71">
        <w:t xml:space="preserve"> of tests ha</w:t>
      </w:r>
      <w:r w:rsidR="007B048D">
        <w:t xml:space="preserve">ve </w:t>
      </w:r>
      <w:r w:rsidR="007D1E71">
        <w:t xml:space="preserve">been increasing in most countries and the linear trend persists. </w:t>
      </w:r>
    </w:p>
    <w:p w14:paraId="783C5107" w14:textId="3CFD7ADF" w:rsidR="007B048D" w:rsidRDefault="007B048D" w:rsidP="007D1E71">
      <w:pPr>
        <w:jc w:val="both"/>
      </w:pPr>
    </w:p>
    <w:p w14:paraId="635F8444" w14:textId="73594B32" w:rsidR="007B048D" w:rsidRDefault="007B048D" w:rsidP="007D1E71">
      <w:pPr>
        <w:jc w:val="both"/>
      </w:pPr>
      <w:r>
        <w:t>The implications of these results are in</w:t>
      </w:r>
      <w:r w:rsidR="00AE2502">
        <w:t>structive</w:t>
      </w:r>
      <w:r>
        <w:t xml:space="preserve">. Firstly, it is no longer herd immunity but cautionary measures that is the primary limiter of spread of the disease: the latter have effect at much lower disease frequencies than herd immunity which would only be achieved much later after an enormous societal cost. Secondly, the </w:t>
      </w:r>
      <w:r w:rsidR="00AE2502">
        <w:t xml:space="preserve">strongly asymmetric peak responses to the daily case statistics and the </w:t>
      </w:r>
      <w:r>
        <w:t xml:space="preserve">linear population responses in cumulative case indicators (and in deaths) result from </w:t>
      </w:r>
      <w:r w:rsidR="00AE2502">
        <w:t>an active regulation of the degree of caution exercised in the population. As evidenced by the case of Sweden this is not entirely dependent on government legislation, which itself is in response to fears of repercussions based on severity indicators like the number of deaths, but also occurs naturally in the population, for example through the ubiquitous distribution of statistics concerning ICU cases. Depending on the timescale of relaxation of caution, the response can also involve second waves and longer-term oscillation. Thirdly, the natural human response, and as we have seen also government mediation of this apart from in a few nations, is not to maintain strict caution measures up until disease eradication. The successive relaxation of measures, even close to disease eradication results</w:t>
      </w:r>
      <w:r w:rsidR="00D5526F">
        <w:t xml:space="preserve"> in very long periods of nearly constant case frequencies, consistent with the cautionary regulation process that we describe in this paper. Examples of this include Germany, Australia, South Korea, Switzerland and many other states.</w:t>
      </w:r>
    </w:p>
    <w:p w14:paraId="38A4A29F" w14:textId="3FE66F64" w:rsidR="0011114A" w:rsidRDefault="0011114A"/>
    <w:p w14:paraId="064C365C" w14:textId="7CE42E06" w:rsidR="00D5526F" w:rsidRPr="000702F7" w:rsidRDefault="00D5526F">
      <w:pPr>
        <w:rPr>
          <w:b/>
          <w:bCs/>
        </w:rPr>
      </w:pPr>
      <w:r w:rsidRPr="000702F7">
        <w:rPr>
          <w:b/>
          <w:bCs/>
        </w:rPr>
        <w:t>Figures</w:t>
      </w:r>
    </w:p>
    <w:p w14:paraId="58C6A05A" w14:textId="5702866B" w:rsidR="00D5526F" w:rsidRDefault="00D5526F"/>
    <w:p w14:paraId="67CD7442" w14:textId="719B730F" w:rsidR="00D5526F" w:rsidRDefault="00D5526F" w:rsidP="00D5526F">
      <w:r>
        <w:t xml:space="preserve">Fig.1 </w:t>
      </w:r>
      <w:r w:rsidR="000702F7">
        <w:t>Common l</w:t>
      </w:r>
      <w:r>
        <w:t>inear phase of growth in individual countries</w:t>
      </w:r>
    </w:p>
    <w:p w14:paraId="7399EB60" w14:textId="72E7B57D" w:rsidR="000702F7" w:rsidRDefault="000702F7" w:rsidP="00D5526F"/>
    <w:p w14:paraId="6891887E" w14:textId="5D272BA6" w:rsidR="00C35442" w:rsidRDefault="000702F7" w:rsidP="00D5526F">
      <w:r>
        <w:t>Fig.2</w:t>
      </w:r>
      <w:r w:rsidR="00C35442">
        <w:t xml:space="preserve"> </w:t>
      </w:r>
      <w:r w:rsidR="00C35442">
        <w:t>The mechanism and equations of two representative endogenous caution models</w:t>
      </w:r>
      <w:r w:rsidR="00C35442">
        <w:t>.</w:t>
      </w:r>
    </w:p>
    <w:p w14:paraId="4FF1FF43" w14:textId="77777777" w:rsidR="00D5526F" w:rsidRDefault="00D5526F" w:rsidP="00D5526F"/>
    <w:p w14:paraId="32DE30C5" w14:textId="169A87FB" w:rsidR="00C35442" w:rsidRDefault="00D5526F" w:rsidP="00D5526F">
      <w:r>
        <w:t xml:space="preserve">Fig. </w:t>
      </w:r>
      <w:r w:rsidR="00C35442">
        <w:t>3</w:t>
      </w:r>
      <w:r>
        <w:t xml:space="preserve"> </w:t>
      </w:r>
      <w:r w:rsidR="00C35442">
        <w:t>Effect of caution feedback for representative variation of the caution parameters</w:t>
      </w:r>
    </w:p>
    <w:p w14:paraId="0E5ED05E" w14:textId="77777777" w:rsidR="00C35442" w:rsidRDefault="00C35442" w:rsidP="00D5526F"/>
    <w:p w14:paraId="11DA8DC7" w14:textId="3157CCE0" w:rsidR="00D5526F" w:rsidRDefault="00C35442" w:rsidP="00D5526F">
      <w:r>
        <w:t xml:space="preserve">Fig. 4 Fit to country data for caution arising </w:t>
      </w:r>
      <w:r w:rsidR="00D5526F">
        <w:t>from critical societal burden in SCEI</w:t>
      </w:r>
      <w:r w:rsidR="00D5526F">
        <w:t>3</w:t>
      </w:r>
      <w:r w:rsidR="00D5526F">
        <w:t>R model</w:t>
      </w:r>
    </w:p>
    <w:p w14:paraId="16EB9C07" w14:textId="77777777" w:rsidR="00D5526F" w:rsidRDefault="00D5526F"/>
    <w:p w14:paraId="3029C072" w14:textId="67F512FD" w:rsidR="00AE2502" w:rsidRPr="00D5526F" w:rsidRDefault="00D5526F">
      <w:pPr>
        <w:rPr>
          <w:b/>
          <w:bCs/>
        </w:rPr>
      </w:pPr>
      <w:r w:rsidRPr="00D5526F">
        <w:rPr>
          <w:b/>
          <w:bCs/>
        </w:rPr>
        <w:lastRenderedPageBreak/>
        <w:t>References</w:t>
      </w:r>
    </w:p>
    <w:p w14:paraId="4DDE929A" w14:textId="77777777" w:rsidR="00D5526F" w:rsidRDefault="00D5526F"/>
    <w:p w14:paraId="27F5A927" w14:textId="77777777" w:rsidR="00200EA8" w:rsidRPr="00200EA8" w:rsidRDefault="0011114A" w:rsidP="00200EA8">
      <w:pPr>
        <w:pStyle w:val="EndNoteBibliography"/>
        <w:rPr>
          <w:noProof/>
        </w:rPr>
      </w:pPr>
      <w:r>
        <w:fldChar w:fldCharType="begin"/>
      </w:r>
      <w:r>
        <w:instrText xml:space="preserve"> ADDIN EN.REFLIST </w:instrText>
      </w:r>
      <w:r>
        <w:fldChar w:fldCharType="separate"/>
      </w:r>
      <w:r w:rsidR="00200EA8" w:rsidRPr="00200EA8">
        <w:rPr>
          <w:noProof/>
        </w:rPr>
        <w:t>1.</w:t>
      </w:r>
      <w:r w:rsidR="00200EA8" w:rsidRPr="00200EA8">
        <w:rPr>
          <w:noProof/>
        </w:rPr>
        <w:tab/>
        <w:t>Kermack, W.O., McKendrick, A.G., Walker, G.T.: A contribution to the mathematical theory of epidemics. Proceedings of the Royal Society of London. Series A, Containing Papers of a Mathematical and Physical Character 115, 700-721 (1927) doi:10.1098/rspa.1927.0118</w:t>
      </w:r>
    </w:p>
    <w:p w14:paraId="0AF62465" w14:textId="77777777" w:rsidR="00200EA8" w:rsidRPr="00200EA8" w:rsidRDefault="00200EA8" w:rsidP="00200EA8">
      <w:pPr>
        <w:pStyle w:val="EndNoteBibliography"/>
        <w:rPr>
          <w:noProof/>
        </w:rPr>
      </w:pPr>
      <w:r w:rsidRPr="00200EA8">
        <w:rPr>
          <w:noProof/>
        </w:rPr>
        <w:t>2.</w:t>
      </w:r>
      <w:r w:rsidRPr="00200EA8">
        <w:rPr>
          <w:noProof/>
        </w:rPr>
        <w:tab/>
        <w:t>R.M., A., B., A., R.M., M.: Infectious Diseases of Humans: Dynamics and Control. Oxford University Press, Oxford, UK (1992) 9780198540403</w:t>
      </w:r>
    </w:p>
    <w:p w14:paraId="429862F7" w14:textId="77777777" w:rsidR="00200EA8" w:rsidRPr="00200EA8" w:rsidRDefault="00200EA8" w:rsidP="00200EA8">
      <w:pPr>
        <w:pStyle w:val="EndNoteBibliography"/>
        <w:rPr>
          <w:noProof/>
        </w:rPr>
      </w:pPr>
      <w:r w:rsidRPr="00200EA8">
        <w:rPr>
          <w:noProof/>
        </w:rPr>
        <w:t>3.</w:t>
      </w:r>
      <w:r w:rsidRPr="00200EA8">
        <w:rPr>
          <w:noProof/>
        </w:rPr>
        <w:tab/>
        <w:t>Anderson, R., May, R.: Directly transmitted infections diseases: control by vaccination. Science 215, 1053-1060 (1982) 10.1126/science.7063839</w:t>
      </w:r>
    </w:p>
    <w:p w14:paraId="4CBC1A50" w14:textId="77777777" w:rsidR="00200EA8" w:rsidRPr="00200EA8" w:rsidRDefault="00200EA8" w:rsidP="00200EA8">
      <w:pPr>
        <w:pStyle w:val="EndNoteBibliography"/>
        <w:rPr>
          <w:noProof/>
        </w:rPr>
      </w:pPr>
      <w:r w:rsidRPr="00200EA8">
        <w:rPr>
          <w:noProof/>
        </w:rPr>
        <w:t>4.</w:t>
      </w:r>
      <w:r w:rsidRPr="00200EA8">
        <w:rPr>
          <w:noProof/>
        </w:rPr>
        <w:tab/>
        <w:t>Hethcote, H.W.: The Mathematics of Infectious Diseases. SIAM Rev. 42, 599–653 (2000) 10.1137/s0036144500371907</w:t>
      </w:r>
    </w:p>
    <w:p w14:paraId="1CB8DC3F" w14:textId="1159A739" w:rsidR="00200EA8" w:rsidRPr="00200EA8" w:rsidRDefault="00200EA8" w:rsidP="00200EA8">
      <w:pPr>
        <w:pStyle w:val="EndNoteBibliography"/>
        <w:rPr>
          <w:noProof/>
        </w:rPr>
      </w:pPr>
      <w:r w:rsidRPr="00200EA8">
        <w:rPr>
          <w:noProof/>
        </w:rPr>
        <w:t>5.</w:t>
      </w:r>
      <w:r w:rsidRPr="00200EA8">
        <w:rPr>
          <w:noProof/>
        </w:rPr>
        <w:tab/>
        <w:t xml:space="preserve">Wu, Z., McGoogan, J.M.: Characteristics of and Important Lessons from the Coronavirus Disease 2019 (COVID-19) Outbreak in China: Summary of a Report of 72 314 Cases from the Chinese Center for Disease Control and Prevention. . JAMA 323, 1239–1242 (2020) </w:t>
      </w:r>
      <w:hyperlink r:id="rId5" w:history="1">
        <w:r w:rsidRPr="00200EA8">
          <w:rPr>
            <w:rStyle w:val="Hyperlink"/>
            <w:noProof/>
          </w:rPr>
          <w:t>https://doi.org/10.1001/jama.2020.2648</w:t>
        </w:r>
      </w:hyperlink>
    </w:p>
    <w:p w14:paraId="4C25ACCA" w14:textId="220431E0" w:rsidR="00200EA8" w:rsidRPr="00200EA8" w:rsidRDefault="00200EA8" w:rsidP="00200EA8">
      <w:pPr>
        <w:pStyle w:val="EndNoteBibliography"/>
        <w:rPr>
          <w:noProof/>
        </w:rPr>
      </w:pPr>
      <w:r w:rsidRPr="00200EA8">
        <w:rPr>
          <w:noProof/>
        </w:rPr>
        <w:t>6.</w:t>
      </w:r>
      <w:r w:rsidRPr="00200EA8">
        <w:rPr>
          <w:noProof/>
        </w:rPr>
        <w:tab/>
        <w:t xml:space="preserve">Lin, Q., Zhao, S., Gao, D., Lou, Y., Yang, S., Musa, S.S., Wang, M.H., Cai, Y., Wang, W., Yang, L., He, D.: A conceptual model for the coronavirus disease 2019 (COVID-19) outbreak in Wuhan, China with individual reaction and governmental action. Int. J. Infect. Dis. 93, 211-216 (2020) </w:t>
      </w:r>
      <w:hyperlink r:id="rId6" w:history="1">
        <w:r w:rsidRPr="00200EA8">
          <w:rPr>
            <w:rStyle w:val="Hyperlink"/>
            <w:noProof/>
          </w:rPr>
          <w:t>https://doi.org/10.1016/j.ijid.2020.02.058</w:t>
        </w:r>
      </w:hyperlink>
    </w:p>
    <w:p w14:paraId="0687CE6A" w14:textId="3E027A75" w:rsidR="00200EA8" w:rsidRPr="00200EA8" w:rsidRDefault="00200EA8" w:rsidP="00200EA8">
      <w:pPr>
        <w:pStyle w:val="EndNoteBibliography"/>
        <w:rPr>
          <w:noProof/>
        </w:rPr>
      </w:pPr>
      <w:r w:rsidRPr="00200EA8">
        <w:rPr>
          <w:noProof/>
        </w:rPr>
        <w:t>7.</w:t>
      </w:r>
      <w:r w:rsidRPr="00200EA8">
        <w:rPr>
          <w:noProof/>
        </w:rPr>
        <w:tab/>
        <w:t xml:space="preserve">Giordano, G., Blanchini, F., Bruno, R., Colaneri, P., Di Filippo, A., Di Matteo, A., Colaneri, M.: Modelling the COVID-19 epidemic and implementation of population-wide interventions in Italy. Nature Medicine (2020) </w:t>
      </w:r>
      <w:hyperlink r:id="rId7" w:history="1">
        <w:r w:rsidRPr="00200EA8">
          <w:rPr>
            <w:rStyle w:val="Hyperlink"/>
            <w:noProof/>
          </w:rPr>
          <w:t>https://doi.org/10.1038/s41591-020-0883-7</w:t>
        </w:r>
      </w:hyperlink>
    </w:p>
    <w:p w14:paraId="72BEC499" w14:textId="77777777" w:rsidR="00200EA8" w:rsidRPr="00200EA8" w:rsidRDefault="00200EA8" w:rsidP="00200EA8">
      <w:pPr>
        <w:pStyle w:val="EndNoteBibliography"/>
        <w:rPr>
          <w:noProof/>
        </w:rPr>
      </w:pPr>
      <w:r w:rsidRPr="00200EA8">
        <w:rPr>
          <w:noProof/>
        </w:rPr>
        <w:t>8.</w:t>
      </w:r>
      <w:r w:rsidRPr="00200EA8">
        <w:rPr>
          <w:noProof/>
        </w:rPr>
        <w:tab/>
        <w:t>Gumel, A.B., Ruan, S., Day, T., Watmough, J., Brauer, F., van den Driessche, P., Gabrielson, D., Bowman, C., Alexander, M.E., Ardal, S., Wu, J., Sahai, B.M.: Modelling strategies for controlling SARS outbreaks. Proc Biol Sci 271, 2223-2232 (2004) 10.1098/rspb.2004.2800</w:t>
      </w:r>
    </w:p>
    <w:p w14:paraId="73781514" w14:textId="77777777" w:rsidR="00200EA8" w:rsidRPr="00200EA8" w:rsidRDefault="00200EA8" w:rsidP="00200EA8">
      <w:pPr>
        <w:pStyle w:val="EndNoteBibliography"/>
        <w:rPr>
          <w:noProof/>
        </w:rPr>
      </w:pPr>
      <w:r w:rsidRPr="00200EA8">
        <w:rPr>
          <w:noProof/>
        </w:rPr>
        <w:t>9.</w:t>
      </w:r>
      <w:r w:rsidRPr="00200EA8">
        <w:rPr>
          <w:noProof/>
        </w:rPr>
        <w:tab/>
        <w:t xml:space="preserve">Klepac, P., Kucharski, A.J., Conlan, A.J., Kissler, S., Tang, M., Fry, H., Gog, J.R.: Contacts in context: large-scale setting-specific social mixing matrices from the BBC Pandemic project. medRxiv (2020) </w:t>
      </w:r>
    </w:p>
    <w:p w14:paraId="2772593C" w14:textId="77777777" w:rsidR="00200EA8" w:rsidRPr="00200EA8" w:rsidRDefault="00200EA8" w:rsidP="00200EA8">
      <w:pPr>
        <w:pStyle w:val="EndNoteBibliography"/>
        <w:rPr>
          <w:noProof/>
        </w:rPr>
      </w:pPr>
      <w:r w:rsidRPr="00200EA8">
        <w:rPr>
          <w:noProof/>
        </w:rPr>
        <w:t>10.</w:t>
      </w:r>
      <w:r w:rsidRPr="00200EA8">
        <w:rPr>
          <w:noProof/>
        </w:rPr>
        <w:tab/>
        <w:t>Prem, K., Liu, Y., Russell, T.W., Kucharski, A.J., Eggo, R.M., Davies, N., Flasche, S., Clifford, S., Pearson, C.A.B., Munday, J.D., Abbott, S., Gibbs, H., Rosello, A., Quilty, B.J., Jombart, T., Sun, F., Diamond, C., Gimma, A., van Zandvoort, K., Funk, S., Jarvis, C.I., Edmunds, W.J., Bosse, N.I., Hellewell, J., Jit, M., Klepac, P.: The effect of control strategies to reduce social mixing on outcomes of the COVID-19 epidemic in Wuhan, China: a modelling study. The Lancet Public Health 5, e261-e270 (2020) 10.1016/S2468-2667(20)30073-6</w:t>
      </w:r>
    </w:p>
    <w:p w14:paraId="1109C168" w14:textId="2710607A" w:rsidR="00200EA8" w:rsidRPr="00200EA8" w:rsidRDefault="00200EA8" w:rsidP="00200EA8">
      <w:pPr>
        <w:pStyle w:val="EndNoteBibliography"/>
        <w:rPr>
          <w:noProof/>
        </w:rPr>
      </w:pPr>
      <w:r w:rsidRPr="00200EA8">
        <w:rPr>
          <w:noProof/>
        </w:rPr>
        <w:t>11.</w:t>
      </w:r>
      <w:r w:rsidRPr="00200EA8">
        <w:rPr>
          <w:noProof/>
        </w:rPr>
        <w:tab/>
        <w:t xml:space="preserve">Hellewell, J., Abbott, S., Gimma, A., Bosse, N.I., Jarvis, C.I., Russell, T.W., Munday, J.D., Kucharski, A.J., Edmunds, W.J., Sun, F., Flasche, S., Quilty, B.J., Davies, N., Liu, Y., Clifford, S., Klepac, P., Jit, M., Diamond, C., Gibbs, H., van Zandvoort, K., Funk, S., Eggo, R.M.: Feasibility of controlling COVID-19 outbreaks by isolation of cases and contacts. The Lancet Global Health 8, e488-e496 (2020) </w:t>
      </w:r>
      <w:hyperlink r:id="rId8" w:history="1">
        <w:r w:rsidRPr="00200EA8">
          <w:rPr>
            <w:rStyle w:val="Hyperlink"/>
            <w:noProof/>
          </w:rPr>
          <w:t>https://doi.org/10.1016/S2214-109X(20)30074-7</w:t>
        </w:r>
      </w:hyperlink>
    </w:p>
    <w:p w14:paraId="522FE9AC" w14:textId="77777777" w:rsidR="00200EA8" w:rsidRPr="00200EA8" w:rsidRDefault="00200EA8" w:rsidP="00200EA8">
      <w:pPr>
        <w:pStyle w:val="EndNoteBibliography"/>
        <w:rPr>
          <w:noProof/>
        </w:rPr>
      </w:pPr>
      <w:r w:rsidRPr="00200EA8">
        <w:rPr>
          <w:noProof/>
        </w:rPr>
        <w:t>12.</w:t>
      </w:r>
      <w:r w:rsidRPr="00200EA8">
        <w:rPr>
          <w:noProof/>
        </w:rPr>
        <w:tab/>
        <w:t>Kucharski, A.J., Russell, T.W., Diamond, C., Liu, Y., Edmunds, J., Funk, S., Eggo, R.M., Sun, F., Jit, M., Munday, J.D., Davies, N., Gimma, A., van Zandvoort, K., Gibbs, H., Hellewell, J., Jarvis, C.I., Clifford, S., Quilty, B.J., Bosse, N.I., Abbott, S., Klepac, P., Flasche, S.: Early dynamics of transmission and control of COVID-19: a mathematical modelling study. The Lancet Infectious Diseases 20, 553-558 (2020) 10.1016/S1473-3099(20)30144-4</w:t>
      </w:r>
    </w:p>
    <w:p w14:paraId="7A4523C3" w14:textId="77777777" w:rsidR="00200EA8" w:rsidRPr="00200EA8" w:rsidRDefault="00200EA8" w:rsidP="00200EA8">
      <w:pPr>
        <w:pStyle w:val="EndNoteBibliography"/>
        <w:rPr>
          <w:noProof/>
        </w:rPr>
      </w:pPr>
      <w:r w:rsidRPr="00200EA8">
        <w:rPr>
          <w:noProof/>
        </w:rPr>
        <w:lastRenderedPageBreak/>
        <w:t>13.</w:t>
      </w:r>
      <w:r w:rsidRPr="00200EA8">
        <w:rPr>
          <w:noProof/>
        </w:rPr>
        <w:tab/>
        <w:t>Angulo, J., Yu, H.-L., Langousis, A., Kolovos, A., Wang, J., Madrid, A.E., Christakos, G.: Spatiotemporal Infectious Disease Modeling: A BME-SIR Approach. PLOS ONE 8, e72168 (2013) 10.1371/journal.pone.0072168</w:t>
      </w:r>
    </w:p>
    <w:p w14:paraId="6E18F1CF" w14:textId="77777777" w:rsidR="00200EA8" w:rsidRPr="00200EA8" w:rsidRDefault="00200EA8" w:rsidP="00200EA8">
      <w:pPr>
        <w:pStyle w:val="EndNoteBibliography"/>
        <w:rPr>
          <w:noProof/>
        </w:rPr>
      </w:pPr>
      <w:r w:rsidRPr="00200EA8">
        <w:rPr>
          <w:noProof/>
        </w:rPr>
        <w:t>14.</w:t>
      </w:r>
      <w:r w:rsidRPr="00200EA8">
        <w:rPr>
          <w:noProof/>
        </w:rPr>
        <w:tab/>
        <w:t>Keeling, M.J.: The effects of local spatial structure on epidemiological invasions. Proc Biol Sci 266, 859-867 (1999) 10.1098/rspb.1999.0716</w:t>
      </w:r>
    </w:p>
    <w:p w14:paraId="2B7D20A2" w14:textId="77777777" w:rsidR="00200EA8" w:rsidRPr="00200EA8" w:rsidRDefault="00200EA8" w:rsidP="00200EA8">
      <w:pPr>
        <w:pStyle w:val="EndNoteBibliography"/>
        <w:rPr>
          <w:noProof/>
        </w:rPr>
      </w:pPr>
      <w:r w:rsidRPr="00200EA8">
        <w:rPr>
          <w:noProof/>
        </w:rPr>
        <w:t>15.</w:t>
      </w:r>
      <w:r w:rsidRPr="00200EA8">
        <w:rPr>
          <w:noProof/>
        </w:rPr>
        <w:tab/>
        <w:t>Danon, L., Brooks-Pollock, E., Bailey, M., Keeling, M.J.: A spatial model of CoVID-19 transmission in England and Wales: early spread and peak timing. medRxiv 2020.2002.2012.20022566 (2020) 10.1101/2020.02.12.20022566</w:t>
      </w:r>
    </w:p>
    <w:p w14:paraId="50E4EED0" w14:textId="77777777" w:rsidR="00200EA8" w:rsidRPr="00200EA8" w:rsidRDefault="00200EA8" w:rsidP="00200EA8">
      <w:pPr>
        <w:pStyle w:val="EndNoteBibliography"/>
        <w:rPr>
          <w:noProof/>
        </w:rPr>
      </w:pPr>
      <w:r w:rsidRPr="00200EA8">
        <w:rPr>
          <w:noProof/>
        </w:rPr>
        <w:t>16.</w:t>
      </w:r>
      <w:r w:rsidRPr="00200EA8">
        <w:rPr>
          <w:noProof/>
        </w:rPr>
        <w:tab/>
        <w:t xml:space="preserve">Ziff, A.L., Ziff, R.M.: Fractal kinetics of COVID-19 pandemic. medRxiv (2020) </w:t>
      </w:r>
    </w:p>
    <w:p w14:paraId="1BA91777" w14:textId="77777777" w:rsidR="00200EA8" w:rsidRPr="00200EA8" w:rsidRDefault="00200EA8" w:rsidP="00200EA8">
      <w:pPr>
        <w:pStyle w:val="EndNoteBibliography"/>
        <w:rPr>
          <w:noProof/>
        </w:rPr>
      </w:pPr>
      <w:r w:rsidRPr="00200EA8">
        <w:rPr>
          <w:noProof/>
        </w:rPr>
        <w:t>17.</w:t>
      </w:r>
      <w:r w:rsidRPr="00200EA8">
        <w:rPr>
          <w:noProof/>
        </w:rPr>
        <w:tab/>
        <w:t>Simoes, J.M.: Spatial Epidemic Modelling in Social Networks. AIP Conference Proceedings 776, 287-297 (2005) 10.1063/1.1985395</w:t>
      </w:r>
    </w:p>
    <w:p w14:paraId="48FFF4A5" w14:textId="77777777" w:rsidR="00200EA8" w:rsidRPr="00200EA8" w:rsidRDefault="00200EA8" w:rsidP="00200EA8">
      <w:pPr>
        <w:pStyle w:val="EndNoteBibliography"/>
        <w:rPr>
          <w:noProof/>
        </w:rPr>
      </w:pPr>
      <w:r w:rsidRPr="00200EA8">
        <w:rPr>
          <w:noProof/>
        </w:rPr>
        <w:t>18.</w:t>
      </w:r>
      <w:r w:rsidRPr="00200EA8">
        <w:rPr>
          <w:noProof/>
        </w:rPr>
        <w:tab/>
        <w:t>Manchein, C., Brugnago, E.L., da Silva, R.M., Mendes, C.F.O., Beims, M.W.: Strong correlations between power-law growth of COVID-19 in four continents and the inefficiency of soft quarantine strategies. Chaos: An Interdisciplinary Journal of Nonlinear Science 30, 041102 (2020) 10.1063/5.0009454</w:t>
      </w:r>
    </w:p>
    <w:p w14:paraId="6141D3DE" w14:textId="77777777" w:rsidR="00200EA8" w:rsidRPr="00200EA8" w:rsidRDefault="00200EA8" w:rsidP="00200EA8">
      <w:pPr>
        <w:pStyle w:val="EndNoteBibliography"/>
        <w:rPr>
          <w:noProof/>
        </w:rPr>
      </w:pPr>
      <w:r w:rsidRPr="00200EA8">
        <w:rPr>
          <w:noProof/>
        </w:rPr>
        <w:t>19.</w:t>
      </w:r>
      <w:r w:rsidRPr="00200EA8">
        <w:rPr>
          <w:noProof/>
        </w:rPr>
        <w:tab/>
        <w:t>Wang, C.J., Ng, C.Y., Brook, R.H.: Response to COVID-19 in Taiwan: Big Data Analytics, New Technology, and Proactive Testing. JAMA 323, 1341-1342 (2020) 10.1001/jama.2020.3151</w:t>
      </w:r>
    </w:p>
    <w:p w14:paraId="686DE3CB" w14:textId="6FBE9DA9" w:rsidR="00200EA8" w:rsidRPr="00200EA8" w:rsidRDefault="00200EA8" w:rsidP="00200EA8">
      <w:pPr>
        <w:pStyle w:val="EndNoteBibliography"/>
        <w:rPr>
          <w:noProof/>
        </w:rPr>
      </w:pPr>
      <w:r w:rsidRPr="00200EA8">
        <w:rPr>
          <w:noProof/>
        </w:rPr>
        <w:t>20.</w:t>
      </w:r>
      <w:r w:rsidRPr="00200EA8">
        <w:rPr>
          <w:noProof/>
        </w:rPr>
        <w:tab/>
        <w:t xml:space="preserve">Zhou, C., Su, F., Pei, T., Zhang, A., Du, Y., Luo, B., Cao, Z., Wang, J., Yuan, W., Zhu, Y., Song, C., Chen, J., Xu, J., Li, F., Ma, T., Jiang, L., Yan, F., Yi, J., Hu, Y., Liao, Y., Xiao, H.: COVID-19: Challenges to GIS with Big Data. Geography and Sustainability 1, 77-87 (2020) </w:t>
      </w:r>
      <w:hyperlink r:id="rId9" w:history="1">
        <w:r w:rsidRPr="00200EA8">
          <w:rPr>
            <w:rStyle w:val="Hyperlink"/>
            <w:noProof/>
          </w:rPr>
          <w:t>https://doi.org/10.1016/j.geosus.2020.03.005</w:t>
        </w:r>
      </w:hyperlink>
    </w:p>
    <w:p w14:paraId="62B54FA0" w14:textId="77777777" w:rsidR="00200EA8" w:rsidRPr="00200EA8" w:rsidRDefault="00200EA8" w:rsidP="00200EA8">
      <w:pPr>
        <w:pStyle w:val="EndNoteBibliography"/>
        <w:rPr>
          <w:noProof/>
        </w:rPr>
      </w:pPr>
      <w:r w:rsidRPr="00200EA8">
        <w:rPr>
          <w:noProof/>
        </w:rPr>
        <w:t>21.</w:t>
      </w:r>
      <w:r w:rsidRPr="00200EA8">
        <w:rPr>
          <w:noProof/>
        </w:rPr>
        <w:tab/>
        <w:t>Hunter, E., Mac Namee, B., Kelleher, J.D.: A Taxonomy for Agent-Based Models in Human Infectious Disease Epidemiology. Journal of Artificial Societies and Social Simulation 20, 2 (2017) 10.18564/jasss.3414</w:t>
      </w:r>
    </w:p>
    <w:p w14:paraId="4201F3B2" w14:textId="77777777" w:rsidR="00200EA8" w:rsidRPr="00200EA8" w:rsidRDefault="00200EA8" w:rsidP="00200EA8">
      <w:pPr>
        <w:pStyle w:val="EndNoteBibliography"/>
        <w:rPr>
          <w:noProof/>
        </w:rPr>
      </w:pPr>
      <w:r w:rsidRPr="00200EA8">
        <w:rPr>
          <w:noProof/>
        </w:rPr>
        <w:t>22.</w:t>
      </w:r>
      <w:r w:rsidRPr="00200EA8">
        <w:rPr>
          <w:noProof/>
        </w:rPr>
        <w:tab/>
        <w:t>Chinazzi, M., Davis, J.T., Ajelli, M., Gioannini, C., Litvinova, M., Merler, S., Pastore y Piontti, A., Mu, K., Rossi, L., Sun, K., Viboud, C., Xiong, X., Yu, H., Halloran, M.E., Longini, I.M., Vespignani, A.: The effect of travel restrictions on the spread of the 2019 novel coronavirus (COVID-19) outbreak. Science 368, 395 (2020) 10.1126/science.aba9757</w:t>
      </w:r>
    </w:p>
    <w:p w14:paraId="67812D6A" w14:textId="14AC52B6" w:rsidR="00200EA8" w:rsidRPr="00200EA8" w:rsidRDefault="00200EA8" w:rsidP="00200EA8">
      <w:pPr>
        <w:pStyle w:val="EndNoteBibliography"/>
        <w:rPr>
          <w:noProof/>
        </w:rPr>
      </w:pPr>
      <w:r w:rsidRPr="00200EA8">
        <w:rPr>
          <w:noProof/>
        </w:rPr>
        <w:t>23.</w:t>
      </w:r>
      <w:r w:rsidRPr="00200EA8">
        <w:rPr>
          <w:noProof/>
        </w:rPr>
        <w:tab/>
        <w:t xml:space="preserve">Bruinen de Bruin, Y., Lequarre, A.-S., McCourt, J., Clevestig, P., Pigazzani, F., Zare Jeddi, M., Colosio, C., Goulart, M.: Initial impacts of global risk mitigation measures taken during the combatting of the COVID-19 pandemic. Safety Science 128, 104773 (2020) </w:t>
      </w:r>
      <w:hyperlink r:id="rId10" w:history="1">
        <w:r w:rsidRPr="00200EA8">
          <w:rPr>
            <w:rStyle w:val="Hyperlink"/>
            <w:noProof/>
          </w:rPr>
          <w:t>https://doi.org/10.1016/j.ssci.2020.104773</w:t>
        </w:r>
      </w:hyperlink>
    </w:p>
    <w:p w14:paraId="4E1F4DF8" w14:textId="55D16726" w:rsidR="00200EA8" w:rsidRPr="00200EA8" w:rsidRDefault="00200EA8" w:rsidP="00200EA8">
      <w:pPr>
        <w:pStyle w:val="EndNoteBibliography"/>
        <w:rPr>
          <w:noProof/>
        </w:rPr>
      </w:pPr>
      <w:r w:rsidRPr="00200EA8">
        <w:rPr>
          <w:noProof/>
        </w:rPr>
        <w:t>24.</w:t>
      </w:r>
      <w:r w:rsidRPr="00200EA8">
        <w:rPr>
          <w:noProof/>
        </w:rPr>
        <w:tab/>
        <w:t xml:space="preserve">Lourenco, J., Paton, R., Ghafari, M., Kraemer, M., Thompson, C., Simmonds, P., Klenerman, P., Gupta, S.: Fundamental principles of epidemic spread highlight the immediate need for large-scale serological surveys to assess the stage of the SARS-CoV-2 epidemic. medRxiv (2020) </w:t>
      </w:r>
      <w:hyperlink r:id="rId11" w:history="1">
        <w:r w:rsidRPr="00200EA8">
          <w:rPr>
            <w:rStyle w:val="Hyperlink"/>
            <w:noProof/>
          </w:rPr>
          <w:t>https://doi.org/10.1101/2020.03.24.20042291</w:t>
        </w:r>
      </w:hyperlink>
    </w:p>
    <w:p w14:paraId="797B7548" w14:textId="7247F8C3" w:rsidR="00A41CB4" w:rsidRDefault="0011114A">
      <w:r>
        <w:fldChar w:fldCharType="end"/>
      </w:r>
    </w:p>
    <w:sectPr w:rsidR="00A41CB4" w:rsidSect="008E24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DO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vdwdpxbt9rxiedr06pz929t2ed5fatxsar&quot;&gt;covid-19-caution&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14064D"/>
    <w:rsid w:val="0000227E"/>
    <w:rsid w:val="0004675E"/>
    <w:rsid w:val="000702F7"/>
    <w:rsid w:val="00077136"/>
    <w:rsid w:val="00081ED4"/>
    <w:rsid w:val="00101D01"/>
    <w:rsid w:val="0011114A"/>
    <w:rsid w:val="0014064D"/>
    <w:rsid w:val="001C76B6"/>
    <w:rsid w:val="00200EA8"/>
    <w:rsid w:val="00201C51"/>
    <w:rsid w:val="0024322C"/>
    <w:rsid w:val="00250AAA"/>
    <w:rsid w:val="002633A9"/>
    <w:rsid w:val="002B1595"/>
    <w:rsid w:val="003475CB"/>
    <w:rsid w:val="00386D10"/>
    <w:rsid w:val="004707EC"/>
    <w:rsid w:val="004C58E1"/>
    <w:rsid w:val="00580A50"/>
    <w:rsid w:val="00591EE7"/>
    <w:rsid w:val="005E07EF"/>
    <w:rsid w:val="006465EE"/>
    <w:rsid w:val="006978B2"/>
    <w:rsid w:val="006E17CC"/>
    <w:rsid w:val="007238FC"/>
    <w:rsid w:val="00760B56"/>
    <w:rsid w:val="007B048D"/>
    <w:rsid w:val="007B63DA"/>
    <w:rsid w:val="007D1E71"/>
    <w:rsid w:val="00836B82"/>
    <w:rsid w:val="00895D36"/>
    <w:rsid w:val="008C58D6"/>
    <w:rsid w:val="008E2428"/>
    <w:rsid w:val="00982B35"/>
    <w:rsid w:val="009B7339"/>
    <w:rsid w:val="009C03BC"/>
    <w:rsid w:val="009C70C1"/>
    <w:rsid w:val="009E453D"/>
    <w:rsid w:val="009F4214"/>
    <w:rsid w:val="00A41CB4"/>
    <w:rsid w:val="00AD39E5"/>
    <w:rsid w:val="00AE2502"/>
    <w:rsid w:val="00B2575D"/>
    <w:rsid w:val="00B9464A"/>
    <w:rsid w:val="00C27C51"/>
    <w:rsid w:val="00C35442"/>
    <w:rsid w:val="00CC1644"/>
    <w:rsid w:val="00CF546D"/>
    <w:rsid w:val="00D5526F"/>
    <w:rsid w:val="00D57DEA"/>
    <w:rsid w:val="00D767D6"/>
    <w:rsid w:val="00D815EE"/>
    <w:rsid w:val="00DE00A8"/>
    <w:rsid w:val="00E617A3"/>
    <w:rsid w:val="00E626CB"/>
    <w:rsid w:val="00EC0319"/>
    <w:rsid w:val="00EE6A1A"/>
    <w:rsid w:val="00F2641B"/>
    <w:rsid w:val="00F639C0"/>
    <w:rsid w:val="00F95C6B"/>
    <w:rsid w:val="00FA4D34"/>
    <w:rsid w:val="00FC0501"/>
    <w:rsid w:val="00FF43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3BE37B"/>
  <w15:chartTrackingRefBased/>
  <w15:docId w15:val="{604757D5-E5EA-4744-A777-EC07C28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53D"/>
    <w:rPr>
      <w:rFonts w:ascii="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11114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1114A"/>
    <w:rPr>
      <w:rFonts w:ascii="Calibri" w:hAnsi="Calibri" w:cs="Calibri"/>
      <w:lang w:val="en-US"/>
    </w:rPr>
  </w:style>
  <w:style w:type="paragraph" w:customStyle="1" w:styleId="EndNoteBibliography">
    <w:name w:val="EndNote Bibliography"/>
    <w:basedOn w:val="Normal"/>
    <w:link w:val="EndNoteBibliographyChar"/>
    <w:rsid w:val="0011114A"/>
    <w:rPr>
      <w:rFonts w:ascii="Calibri" w:hAnsi="Calibri" w:cs="Calibri"/>
      <w:lang w:val="en-US"/>
    </w:rPr>
  </w:style>
  <w:style w:type="character" w:customStyle="1" w:styleId="EndNoteBibliographyChar">
    <w:name w:val="EndNote Bibliography Char"/>
    <w:basedOn w:val="DefaultParagraphFont"/>
    <w:link w:val="EndNoteBibliography"/>
    <w:rsid w:val="0011114A"/>
    <w:rPr>
      <w:rFonts w:ascii="Calibri" w:hAnsi="Calibri" w:cs="Calibri"/>
      <w:lang w:val="en-US"/>
    </w:rPr>
  </w:style>
  <w:style w:type="character" w:styleId="Hyperlink">
    <w:name w:val="Hyperlink"/>
    <w:basedOn w:val="DefaultParagraphFont"/>
    <w:uiPriority w:val="99"/>
    <w:unhideWhenUsed/>
    <w:rsid w:val="0011114A"/>
    <w:rPr>
      <w:color w:val="0563C1" w:themeColor="hyperlink"/>
      <w:u w:val="single"/>
    </w:rPr>
  </w:style>
  <w:style w:type="character" w:styleId="UnresolvedMention">
    <w:name w:val="Unresolved Mention"/>
    <w:basedOn w:val="DefaultParagraphFont"/>
    <w:uiPriority w:val="99"/>
    <w:semiHidden/>
    <w:unhideWhenUsed/>
    <w:rsid w:val="0011114A"/>
    <w:rPr>
      <w:color w:val="605E5C"/>
      <w:shd w:val="clear" w:color="auto" w:fill="E1DFDD"/>
    </w:rPr>
  </w:style>
  <w:style w:type="character" w:styleId="PlaceholderText">
    <w:name w:val="Placeholder Text"/>
    <w:basedOn w:val="DefaultParagraphFont"/>
    <w:uiPriority w:val="99"/>
    <w:semiHidden/>
    <w:rsid w:val="00243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0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0-088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ijid.2020.02.058" TargetMode="External"/><Relationship Id="rId11" Type="http://schemas.openxmlformats.org/officeDocument/2006/relationships/hyperlink" Target="https://doi.org/10.1101/2020.03.24.20042291" TargetMode="External"/><Relationship Id="rId5" Type="http://schemas.openxmlformats.org/officeDocument/2006/relationships/hyperlink" Target="https://doi.org/10.1001/jama.2020.2648" TargetMode="External"/><Relationship Id="rId10" Type="http://schemas.openxmlformats.org/officeDocument/2006/relationships/hyperlink" Target="https://doi.org/10.1016/j.ssci.2020.104773" TargetMode="External"/><Relationship Id="rId4" Type="http://schemas.openxmlformats.org/officeDocument/2006/relationships/webSettings" Target="webSettings.xml"/><Relationship Id="rId9" Type="http://schemas.openxmlformats.org/officeDocument/2006/relationships/hyperlink" Target="https://doi.org/10.1016/j.geosu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E11-8841-E54D-BC03-C19CF65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26</cp:revision>
  <dcterms:created xsi:type="dcterms:W3CDTF">2020-05-18T06:36:00Z</dcterms:created>
  <dcterms:modified xsi:type="dcterms:W3CDTF">2020-06-17T13:27:00Z</dcterms:modified>
</cp:coreProperties>
</file>