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18B33917" w:rsidR="00313967"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8D656A">
        <w:t xml:space="preserve">However, subsequent testing data has shown that the </w:t>
      </w:r>
      <w:r w:rsidR="003F5B17">
        <w:t xml:space="preserve">fraction of individuals infected, while significantly higher than that measured in the first wave of infection, is in all countries much lower than the </w:t>
      </w:r>
      <w:r w:rsidR="008D656A">
        <w:t xml:space="preserve">level of infection required for </w:t>
      </w:r>
      <w:r w:rsidR="003F5B17">
        <w:t>herd immunity</w:t>
      </w:r>
      <w:r w:rsidR="003976D4">
        <w:t xml:space="preserve"> </w:t>
      </w:r>
      <w:r w:rsidR="003976D4" w:rsidRPr="003976D4">
        <w:rPr>
          <w:highlight w:val="yellow"/>
        </w:rPr>
        <w:t>[??]</w:t>
      </w:r>
      <w:r w:rsidR="003F5B17">
        <w:t>. The caution models introduced here also account for the existence of the low first peaks of daily infection rates quantitatively.</w:t>
      </w:r>
    </w:p>
    <w:p w14:paraId="13F97541" w14:textId="19D2212C" w:rsidR="00313967" w:rsidRDefault="00313967" w:rsidP="009C03BC">
      <w:pPr>
        <w:jc w:val="both"/>
      </w:pPr>
    </w:p>
    <w:p w14:paraId="696F6B92" w14:textId="6B26C9CD" w:rsidR="00E15AF0" w:rsidRDefault="00783CA3" w:rsidP="009C03BC">
      <w:pPr>
        <w:jc w:val="both"/>
      </w:pPr>
      <w:r>
        <w:t xml:space="preserve">The data for different countries, shown in Figure 1, display </w:t>
      </w:r>
      <w:r w:rsidR="003F5B17">
        <w:t xml:space="preserve">dynamics </w:t>
      </w:r>
      <w:r>
        <w:t xml:space="preserve">strikingly different </w:t>
      </w:r>
      <w:r w:rsidR="003F5B17">
        <w:t xml:space="preserve">from standard </w:t>
      </w:r>
      <w:r>
        <w:t xml:space="preserve">epidemiological </w:t>
      </w:r>
      <w:r w:rsidR="0057313C">
        <w:t>models</w:t>
      </w:r>
      <w:r>
        <w:t xml:space="preserve">.  The cumulative case count curves shown in Figs 1A and 1C have long linear regions (shown with a simple three-segment piecewise linear fit superimposed on the data), which correspond to broadened peaks in the daily data shown in Figs 1B and 1C, uncharacteristic of the classical epidemiological models.  </w:t>
      </w:r>
      <w:r w:rsidR="003976D4">
        <w:t>The typical response is an early saturation peak followed</w:t>
      </w:r>
      <w:r w:rsidR="00111098">
        <w:t xml:space="preserve"> </w:t>
      </w:r>
      <w:r w:rsidR="003976D4">
        <w:t>by an extended period</w:t>
      </w:r>
      <w:r w:rsidR="00111098">
        <w:t xml:space="preserve"> </w:t>
      </w:r>
      <w:r w:rsidR="003976D4">
        <w:t>with nearly constant rates of daily infection</w:t>
      </w:r>
      <w:r w:rsidR="00111098">
        <w:t xml:space="preserve">, at varying levels depending on the individual countries, prior to a second wave of infection. In the USA, for example, the constant infection rate phase </w:t>
      </w:r>
      <w:r w:rsidR="00E15AF0">
        <w:t xml:space="preserve">persisted without much attenuation from the initial peak level </w:t>
      </w:r>
      <w:r w:rsidR="00111098">
        <w:t>for 2.5 months from</w:t>
      </w:r>
      <w:r w:rsidR="00E15AF0">
        <w:t xml:space="preserve"> April to mid-June 2020. This high constant infection rate phase is also seen in </w:t>
      </w:r>
      <w:r w:rsidR="006836A1">
        <w:t xml:space="preserve">the whole world data (not shown) and </w:t>
      </w:r>
      <w:r w:rsidR="00E15AF0">
        <w:t xml:space="preserve">other </w:t>
      </w:r>
      <w:r w:rsidR="006836A1">
        <w:t xml:space="preserve">large </w:t>
      </w:r>
      <w:r w:rsidR="006836A1">
        <w:lastRenderedPageBreak/>
        <w:t xml:space="preserve">countries like </w:t>
      </w:r>
      <w:r w:rsidR="00E15AF0">
        <w:t>Brazil</w:t>
      </w:r>
      <w:r w:rsidR="006836A1">
        <w:t xml:space="preserve"> and Russia.</w:t>
      </w:r>
      <w:r w:rsidR="00E15AF0">
        <w:t xml:space="preserve"> In many other countries, such as Italy, Spain, and Germany in Europe, but also Japan, South Korea, and Australia, the extended constant phase </w:t>
      </w:r>
      <w:r w:rsidR="006836A1">
        <w:t>is also seen but</w:t>
      </w:r>
      <w:r w:rsidR="00E15AF0">
        <w:t xml:space="preserve"> at a </w:t>
      </w:r>
      <w:r w:rsidR="006836A1">
        <w:t xml:space="preserve">significantly </w:t>
      </w:r>
      <w:r w:rsidR="00E15AF0">
        <w:t xml:space="preserve">lower level than the initial peak. </w:t>
      </w:r>
      <w:r w:rsidR="006836A1">
        <w:t xml:space="preserve">We shall see how the cautioned SIR family of models explain these phenomena, </w:t>
      </w:r>
      <w:r w:rsidR="0057313C">
        <w:t>while capturing other features including</w:t>
      </w:r>
      <w:r w:rsidR="006836A1">
        <w:t xml:space="preserve"> the </w:t>
      </w:r>
      <w:r w:rsidR="0057313C">
        <w:t xml:space="preserve">timing of </w:t>
      </w:r>
      <w:r w:rsidR="006836A1">
        <w:t xml:space="preserve">second </w:t>
      </w:r>
      <w:r w:rsidR="0057313C">
        <w:t xml:space="preserve">infection </w:t>
      </w:r>
      <w:r w:rsidR="006836A1">
        <w:t>peak</w:t>
      </w:r>
      <w:r w:rsidR="0057313C">
        <w:t>s</w:t>
      </w:r>
      <w:r w:rsidR="006836A1">
        <w:t>.</w:t>
      </w:r>
    </w:p>
    <w:p w14:paraId="6E1578B0" w14:textId="4482EE81" w:rsidR="00313967" w:rsidRDefault="00E15AF0" w:rsidP="009C03BC">
      <w:pPr>
        <w:jc w:val="both"/>
      </w:pPr>
      <w:r>
        <w:t xml:space="preserve"> </w:t>
      </w:r>
    </w:p>
    <w:p w14:paraId="43E29570" w14:textId="338A6A7F" w:rsidR="00E626CB" w:rsidRDefault="00E626CB" w:rsidP="009C03BC">
      <w:pPr>
        <w:jc w:val="both"/>
      </w:pPr>
      <w:r>
        <w:t xml:space="preserve">Contemplating the </w:t>
      </w:r>
      <w:r w:rsidR="00CF1226">
        <w:t xml:space="preserve">early </w:t>
      </w:r>
      <w:r>
        <w:t>linear global data</w:t>
      </w:r>
      <w:r w:rsidR="00CF1226">
        <w:t xml:space="preserve">, </w:t>
      </w:r>
      <w:r>
        <w:t>see Fig. 1</w:t>
      </w:r>
      <w:r w:rsidR="00313967">
        <w:t>A and 1C</w:t>
      </w:r>
      <w:r>
        <w:t>, the author</w:t>
      </w:r>
      <w:r w:rsidR="00313967">
        <w:t>s</w:t>
      </w:r>
      <w:r>
        <w:t xml:space="preserve"> </w:t>
      </w:r>
      <w:r w:rsidR="00313967">
        <w:t xml:space="preserve">were </w:t>
      </w:r>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The fundamental reason for this is specific 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like the nesting site limitation in bird populations, </w:t>
      </w:r>
      <w:r w:rsidR="00313967">
        <w:t xml:space="preserve">has </w:t>
      </w:r>
      <w:r w:rsidR="006978B2">
        <w:t xml:space="preserve">a straightforward </w:t>
      </w:r>
      <w:r w:rsidR="00313967">
        <w:t>explanation</w:t>
      </w:r>
      <w:r w:rsidR="006978B2">
        <w:t>: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r w:rsidR="00313967">
        <w:t>s</w:t>
      </w:r>
      <w:r w:rsidR="00591EE7">
        <w:t xml:space="preserve"> </w:t>
      </w:r>
      <w:r w:rsidR="00313967">
        <w:t xml:space="preserve">propose </w:t>
      </w:r>
      <w:r w:rsidR="00591EE7">
        <w:t xml:space="preserve">a </w:t>
      </w:r>
      <w:r w:rsidR="004A07DA">
        <w:t>similarly</w:t>
      </w:r>
      <w:r w:rsidR="00591EE7">
        <w:t xml:space="preserve"> </w:t>
      </w:r>
      <w:r w:rsidR="004A07DA">
        <w:t xml:space="preserve">endogenous </w:t>
      </w:r>
      <w:r w:rsidR="00591EE7">
        <w:t xml:space="preserve">mechanism </w:t>
      </w:r>
      <w:r w:rsidR="00313967">
        <w:t xml:space="preserve">that can </w:t>
      </w:r>
      <w:r w:rsidR="00591EE7">
        <w:t>account for the observed linear growth phase</w:t>
      </w:r>
      <w:r w:rsidR="00F51803">
        <w:t>s</w:t>
      </w:r>
      <w:r w:rsidR="00591EE7">
        <w:t xml:space="preserve"> for Covid-19 in societies shown in Fig. 1</w:t>
      </w:r>
      <w:r w:rsidR="00783CA3">
        <w:t xml:space="preserve"> A and C</w:t>
      </w:r>
      <w:r w:rsidR="00591EE7">
        <w:t>.</w:t>
      </w:r>
    </w:p>
    <w:p w14:paraId="2E9DE14F" w14:textId="79D96990" w:rsidR="009C70C1" w:rsidRDefault="009C70C1" w:rsidP="009C03BC">
      <w:pPr>
        <w:jc w:val="both"/>
      </w:pPr>
    </w:p>
    <w:p w14:paraId="24B3BFA9" w14:textId="642EC21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4A07DA">
        <w:rPr>
          <w:vertAlign w:val="subscript"/>
        </w:rPr>
        <w:t xml:space="preserve"> </w:t>
      </w:r>
      <w:r w:rsidR="00B9464A">
        <w:t>&lt;</w:t>
      </w:r>
      <w:r w:rsidR="004A07DA">
        <w:t xml:space="preserve"> </w:t>
      </w:r>
      <w:r w:rsidR="00B9464A">
        <w:t xml:space="preserve">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w:t>
      </w:r>
      <w:r w:rsidR="00997612">
        <w:t xml:space="preserve">C as chosen: </w:t>
      </w:r>
      <w:r w:rsidR="00FA4D34">
        <w:t xml:space="preserve">I in the </w:t>
      </w:r>
      <w:r w:rsidR="00D57DEA">
        <w:t xml:space="preserve">SIR </w:t>
      </w:r>
      <w:r w:rsidR="00997612">
        <w:t xml:space="preserve">and SEIR </w:t>
      </w:r>
      <w:r w:rsidR="00D57DEA">
        <w:t>model</w:t>
      </w:r>
      <w:r w:rsidR="00997612">
        <w:t>s</w:t>
      </w:r>
      <w:r w:rsidR="00D57DEA">
        <w:t xml:space="preserve">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410ED1C5"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 xml:space="preserve">proportional to the product </w:t>
      </w:r>
      <w:r w:rsidR="00997612">
        <w:t xml:space="preserve">S*C of </w:t>
      </w:r>
      <w:r>
        <w:t xml:space="preserve">their population </w:t>
      </w:r>
      <w:r w:rsidR="0057313C">
        <w:t xml:space="preserve">fractions </w:t>
      </w:r>
      <w:r>
        <w:t xml:space="preserve">(as in the law of mass action for chemical interactions), as well as a reverse transition from cautious individuals to individuals acting unaffectedly, proportional to the </w:t>
      </w:r>
      <w:r w:rsidR="0057313C">
        <w:t>fraction</w:t>
      </w:r>
      <w:r>
        <w:t xml:space="preserve"> </w:t>
      </w:r>
      <w:r w:rsidR="0057313C">
        <w:t>S</w:t>
      </w:r>
      <w:r w:rsidR="0057313C" w:rsidRPr="007238FC">
        <w:rPr>
          <w:vertAlign w:val="subscript"/>
        </w:rPr>
        <w:t>c</w:t>
      </w:r>
      <w:r w:rsidR="0057313C">
        <w:t xml:space="preserve"> </w:t>
      </w:r>
      <w:r>
        <w:t>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w:t>
      </w:r>
      <w:r w:rsidR="00997612">
        <w:t>our</w:t>
      </w:r>
      <w:r w:rsidR="0024322C">
        <w:t xml:space="preserve"> </w:t>
      </w:r>
      <w:r w:rsidR="00F639C0">
        <w:t>first approach</w:t>
      </w:r>
      <w:r w:rsidR="0024322C">
        <w:t xml:space="preserve">, </w:t>
      </w:r>
      <w:r w:rsidR="00895D36">
        <w:t xml:space="preserve">we </w:t>
      </w:r>
      <w:r w:rsidR="00997612">
        <w:t>did</w:t>
      </w:r>
      <w:r w:rsidR="00895D36">
        <w:t xml:space="preserve"> not distinguish between cautious and </w:t>
      </w:r>
      <w:r w:rsidR="00F639C0">
        <w:t>non-</w:t>
      </w:r>
      <w:r w:rsidR="00895D36">
        <w:t xml:space="preserve">cautious exposed or infected individuals </w:t>
      </w:r>
      <w:r w:rsidR="0057313C">
        <w:t xml:space="preserve">E, </w:t>
      </w:r>
      <w:r w:rsidR="00895D36">
        <w:t>I</w:t>
      </w:r>
      <w:r w:rsidR="00997612">
        <w:t xml:space="preserve"> for simplicity, but for consistency this should be done, especially for the class E (individuals do not know that they are exposed). </w:t>
      </w:r>
      <w:r w:rsidR="0024322C">
        <w:t xml:space="preserve">We have tested the impact of </w:t>
      </w:r>
      <w:r w:rsidR="006B7A29">
        <w:t xml:space="preserve">including cautioned classes for all non-hospitalized </w:t>
      </w:r>
      <w:r w:rsidR="00997612">
        <w:t xml:space="preserve"> </w:t>
      </w:r>
      <w:r w:rsidR="006B7A29">
        <w:t xml:space="preserve">individuals </w:t>
      </w:r>
      <w:r w:rsidR="0024322C">
        <w:t>in a second set of models</w:t>
      </w:r>
      <w:r w:rsidR="00F639C0">
        <w:t xml:space="preserve">, also shown in Fig. </w:t>
      </w:r>
      <w:r w:rsidR="00C35442">
        <w:t>2</w:t>
      </w:r>
      <w:r w:rsidR="0024322C">
        <w:t>, which share the prediction of a linear phase</w:t>
      </w:r>
      <w:r w:rsidR="00760B56">
        <w:t xml:space="preserve">, with a stronger impact of </w:t>
      </w:r>
      <w:r w:rsidR="00760B56">
        <w:lastRenderedPageBreak/>
        <w:t>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398F6C2D"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r w:rsidR="006B7A29">
        <w:rPr>
          <w:rFonts w:eastAsiaTheme="minorEastAsia"/>
        </w:rPr>
        <w:t>endogenous</w:t>
      </w:r>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w:t>
      </w:r>
      <w:r w:rsidR="0057313C">
        <w:rPr>
          <w:rFonts w:eastAsiaTheme="minorEastAsia"/>
        </w:rPr>
        <w:t>-</w:t>
      </w:r>
      <w:r>
        <w:rPr>
          <w:rFonts w:eastAsiaTheme="minorEastAsia"/>
        </w:rPr>
        <w:t>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3002D062"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an extended linear saturation response (two such phases with differing </w:t>
      </w:r>
      <w:r w:rsidR="009723F1">
        <w:t>levels</w:t>
      </w:r>
      <w:r w:rsidR="00B15680">
        <w:t xml:space="preserve"> are visible in the US data).</w:t>
      </w:r>
      <w:r w:rsidR="001D3AEF">
        <w:t xml:space="preserve"> </w:t>
      </w:r>
    </w:p>
    <w:p w14:paraId="0BA0CB22" w14:textId="241A3606" w:rsidR="00760B56" w:rsidRDefault="00760B56" w:rsidP="009C03BC">
      <w:pPr>
        <w:jc w:val="both"/>
      </w:pPr>
    </w:p>
    <w:p w14:paraId="3B8D7BCE" w14:textId="48DC2550"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Py</w:t>
      </w:r>
      <w:r w:rsidR="00D9479B">
        <w:t>Gom</w:t>
      </w:r>
      <w:proofErr w:type="spellEnd"/>
      <w:r w:rsidR="00D9479B">
        <w:t xml:space="preserve"> </w:t>
      </w:r>
      <w:r w:rsidR="00D9479B">
        <w:fldChar w:fldCharType="begin"/>
      </w:r>
      <w:r w:rsidR="00D9479B">
        <w:instrText xml:space="preserve"> ADDIN EN.CITE &lt;EndNote&gt;&lt;Cite&gt;&lt;Author&gt;Tye&lt;/Author&gt;&lt;Year&gt;2018&lt;/Year&gt;&lt;RecNum&gt;30&lt;/RecNum&gt;&lt;DisplayText&gt;[28]&lt;/DisplayText&gt;&lt;record&gt;&lt;rec-number&gt;30&lt;/rec-number&gt;&lt;foreign-keys&gt;&lt;key app="EN" db-id="pdvdwdpxbt9rxiedr06pz929t2ed5fatxsar" timestamp="1598265670"&gt;30&lt;/key&gt;&lt;/foreign-keys&gt;&lt;ref-type name="Journal Article"&gt;17&lt;/ref-type&gt;&lt;contributors&gt;&lt;authors&gt;&lt;author&gt;Tye, Edwin&lt;/author&gt;&lt;author&gt;Finnie, Thomas J R&lt;/author&gt;&lt;author&gt;Hall, Ian&lt;/author&gt;&lt;author&gt;Leach, Steve&lt;/author&gt;&lt;/authors&gt;&lt;/contributors&gt;&lt;titles&gt;&lt;title&gt;PyGOM - A Python Package for Simplifying Modelling with Systems of Ordinary Differential Equations&lt;/title&gt;&lt;secondary-title&gt;ArXiv&lt;/secondary-title&gt;&lt;/titles&gt;&lt;periodical&gt;&lt;full-title&gt;ArXiv&lt;/full-title&gt;&lt;/periodical&gt;&lt;volume&gt;abs/1803.06934&lt;/volume&gt;&lt;dates&gt;&lt;year&gt;2018&lt;/year&gt;&lt;/dates&gt;&lt;urls&gt;&lt;/urls&gt;&lt;/record&gt;&lt;/Cite&gt;&lt;/EndNote&gt;</w:instrText>
      </w:r>
      <w:r w:rsidR="00D9479B">
        <w:fldChar w:fldCharType="separate"/>
      </w:r>
      <w:r w:rsidR="00D9479B">
        <w:rPr>
          <w:noProof/>
        </w:rPr>
        <w:t>[28]</w:t>
      </w:r>
      <w:r w:rsidR="00D9479B">
        <w:fldChar w:fldCharType="end"/>
      </w:r>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w:t>
      </w:r>
      <w:r w:rsidR="009723F1">
        <w:t xml:space="preserve"> </w:t>
      </w:r>
      <w:r w:rsidR="009723F1">
        <w:rPr>
          <w:rFonts w:ascii="Times New Roman" w:eastAsia="Euclid Symbol" w:hAnsi="Times New Roman" w:cs="Times New Roman"/>
        </w:rPr>
        <w:t>→</w:t>
      </w:r>
      <w:r w:rsidR="009723F1">
        <w:t xml:space="preserve"> SCEIR &amp; SC3EIR</w:t>
      </w:r>
      <w:r w:rsidR="00CE45E7">
        <w:t>) and hospital differentiated (SEI3R</w:t>
      </w:r>
      <w:r w:rsidR="009723F1">
        <w:t xml:space="preserve"> </w:t>
      </w:r>
      <w:r w:rsidR="009723F1">
        <w:rPr>
          <w:rFonts w:ascii="Times New Roman" w:eastAsia="Euclid Symbol" w:hAnsi="Times New Roman" w:cs="Times New Roman"/>
        </w:rPr>
        <w:t xml:space="preserve">→ </w:t>
      </w:r>
      <w:r w:rsidR="009723F1">
        <w:t>SCEI3R &amp; SC3EI3R</w:t>
      </w:r>
      <w:r w:rsidR="00D30CA0">
        <w:t>)</w:t>
      </w:r>
      <w:r w:rsidR="00CE45E7">
        <w:t xml:space="preserve"> models </w:t>
      </w:r>
      <w:r w:rsidR="00B81293">
        <w:t xml:space="preserve">for representative variation of the three caution parameters about typical values. </w:t>
      </w:r>
      <w:r w:rsidR="00837C60">
        <w:t xml:space="preserve">Note that the </w:t>
      </w:r>
      <w:r w:rsidR="009723F1">
        <w:t>complete</w:t>
      </w:r>
      <w:r w:rsidR="00837C60">
        <w:t xml:space="preserve"> caution </w:t>
      </w:r>
      <w:r w:rsidR="009723F1">
        <w:t>model</w:t>
      </w:r>
      <w:r w:rsidR="00837C60">
        <w:t>s (</w:t>
      </w:r>
      <w:r w:rsidR="00D30CA0">
        <w:t>S</w:t>
      </w:r>
      <w:r w:rsidR="00D9479B">
        <w:t>C</w:t>
      </w:r>
      <w:r w:rsidR="00D30CA0">
        <w:t>3EIR</w:t>
      </w:r>
      <w:r w:rsidR="009723F1">
        <w:t xml:space="preserve"> &amp; SC3EI3R</w:t>
      </w:r>
      <w:r w:rsidR="00837C60">
        <w:t xml:space="preserve">), which includes caution for </w:t>
      </w:r>
      <w:r w:rsidR="009723F1">
        <w:t xml:space="preserve">susceptible, </w:t>
      </w:r>
      <w:r w:rsidR="00837C60">
        <w:t xml:space="preserve">exposed and infected individuals, strengthen the caution response </w:t>
      </w:r>
      <w:r w:rsidR="006B7A29">
        <w:t>and</w:t>
      </w:r>
      <w:r w:rsidR="00837C60">
        <w:t xml:space="preserve"> predict strong second wave phenomena for some parameter values.</w:t>
      </w:r>
      <w:r w:rsidR="000A5341">
        <w:t xml:space="preserve"> T</w:t>
      </w:r>
      <w:r w:rsidR="00837C60">
        <w:t>he range of response forms appears to co</w:t>
      </w:r>
      <w:r w:rsidR="000A5341">
        <w:t xml:space="preserve">ver </w:t>
      </w:r>
      <w:r w:rsidR="00837C60">
        <w:t xml:space="preserve">the </w:t>
      </w:r>
      <w:r w:rsidR="000A5341">
        <w:t xml:space="preserve">majority </w:t>
      </w:r>
      <w:r w:rsidR="00837C60">
        <w:t xml:space="preserve">of forms </w:t>
      </w:r>
      <w:r w:rsidR="000A5341">
        <w:t>seen for 194 countries in the JHU data. Note that in Fig. 3, showing daily not cumulative cases, the linear phase of growth corresponds to constant daily cases.</w:t>
      </w:r>
    </w:p>
    <w:p w14:paraId="737AAA14" w14:textId="3B5548E3" w:rsidR="000A5341" w:rsidRDefault="000A5341" w:rsidP="009C03BC">
      <w:pPr>
        <w:jc w:val="both"/>
      </w:pPr>
    </w:p>
    <w:p w14:paraId="514D6AD6" w14:textId="2AEF0774"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r w:rsidR="006B7A29">
        <w:t>considering</w:t>
      </w:r>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r w:rsidR="006B7A29">
        <w:t>all</w:t>
      </w:r>
      <w:r w:rsidR="00707395">
        <w:t xml:space="preserve"> these complications into account. Rather, we wish the reader to share the insight that the seeming complexity of the societal response to the Covid-19 pandemic can actually be better understood as </w:t>
      </w:r>
      <w:r w:rsidR="00707395">
        <w:lastRenderedPageBreak/>
        <w:t xml:space="preserve">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5935B39"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9723F1">
        <w:t>another common</w:t>
      </w:r>
      <w:r w:rsidR="00E626CB">
        <w:t xml:space="preserve">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65DF36E6"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 xml:space="preserve">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w:t>
      </w:r>
      <w:r w:rsidR="00AE2502">
        <w:lastRenderedPageBreak/>
        <w:t>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t>
      </w:r>
      <w:r w:rsidR="009723F1">
        <w:t>w</w:t>
      </w:r>
      <w:r w:rsidR="00E76A30">
        <w:t xml:space="preserve"> second waves of infection.</w:t>
      </w:r>
    </w:p>
    <w:p w14:paraId="6F3BB519" w14:textId="3F49FC95" w:rsidR="00E76A30" w:rsidRDefault="00E76A30" w:rsidP="007D1E71">
      <w:pPr>
        <w:jc w:val="both"/>
      </w:pPr>
    </w:p>
    <w:p w14:paraId="08A18346" w14:textId="77777777" w:rsidR="00025309" w:rsidRDefault="009723F1" w:rsidP="007D1E71">
      <w:pPr>
        <w:jc w:val="both"/>
        <w:rPr>
          <w:rFonts w:eastAsiaTheme="minorEastAsia"/>
        </w:rPr>
      </w:pPr>
      <w:r>
        <w:t xml:space="preserve">Our model can be extended and integrated with existing extensions in various ways. </w:t>
      </w:r>
      <w:r w:rsidR="00916FF1">
        <w:t xml:space="preserve">Since its major feature of complete endogeny distinguishes it from conventional approaches such as external societal changes to the parameters (e.g. government decision influences on the R number), we outline one simple endogenous extension in this work to show how a coupling of the cautionary response with economic impact can be introduced. Cautioned individuals have a vital positive effect on containing the epidemic, as we have seen, but the economic repercussions of this caution </w:t>
      </w:r>
      <w:proofErr w:type="gramStart"/>
      <w:r w:rsidR="00916FF1">
        <w:t>is</w:t>
      </w:r>
      <w:proofErr w:type="gramEnd"/>
      <w:r w:rsidR="00916FF1">
        <w:t xml:space="preserve"> often severe, resulting in significant reduction in economic capacity, by a factor </w:t>
      </w:r>
      <m:oMath>
        <m:r>
          <w:rPr>
            <w:rFonts w:ascii="Cambria Math" w:hAnsi="Cambria Math"/>
          </w:rPr>
          <m:t>κ&lt;1</m:t>
        </m:r>
      </m:oMath>
      <w:r w:rsidR="00916FF1">
        <w:rPr>
          <w:rFonts w:eastAsiaTheme="minorEastAsia"/>
        </w:rPr>
        <w:t xml:space="preserve">. We model the economy </w:t>
      </w:r>
      <w:r w:rsidR="00A07926">
        <w:rPr>
          <w:rFonts w:eastAsiaTheme="minorEastAsia"/>
        </w:rPr>
        <w:t xml:space="preserve">simplistically as a state variable </w:t>
      </w:r>
      <m:oMath>
        <m:r>
          <w:rPr>
            <w:rFonts w:ascii="Cambria Math" w:eastAsiaTheme="minorEastAsia" w:hAnsi="Cambria Math"/>
          </w:rPr>
          <m:t>W</m:t>
        </m:r>
      </m:oMath>
      <w:r w:rsidR="00A07926">
        <w:rPr>
          <w:rFonts w:eastAsiaTheme="minorEastAsia"/>
        </w:rPr>
        <w:t xml:space="preserve"> with logistic dynamics </w:t>
      </w:r>
      <w:r w:rsidR="00E529B4">
        <w:rPr>
          <w:rFonts w:eastAsiaTheme="minorEastAsia"/>
        </w:rPr>
        <w:t xml:space="preserve">with relaxation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E529B4">
        <w:rPr>
          <w:rFonts w:eastAsiaTheme="minorEastAsia"/>
        </w:rPr>
        <w:t xml:space="preserve"> in the form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 xml:space="preserve"> W </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 xml:space="preserve">κ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r>
              <w:rPr>
                <w:rFonts w:ascii="Cambria Math" w:eastAsiaTheme="minorEastAsia" w:hAnsi="Cambria Math"/>
              </w:rPr>
              <m:t>W</m:t>
            </m:r>
          </m:e>
        </m:d>
      </m:oMath>
      <w:r w:rsidR="00A07926">
        <w:rPr>
          <w:rFonts w:eastAsiaTheme="minorEastAsia"/>
        </w:rPr>
        <w:t xml:space="preserve"> (with a steady state carrying capacity normalized to one in the absence of the pandemic</w:t>
      </w:r>
      <w:r w:rsidR="00E529B4">
        <w:rPr>
          <w:rFonts w:eastAsiaTheme="minorEastAsia"/>
        </w:rPr>
        <w:t xml:space="preserve"> and linearly depressed by caution</w:t>
      </w:r>
      <w:r w:rsidR="00A07926">
        <w:rPr>
          <w:rFonts w:eastAsiaTheme="minorEastAsia"/>
        </w:rPr>
        <w:t xml:space="preserve">). </w:t>
      </w:r>
      <w:r w:rsidR="00E529B4">
        <w:rPr>
          <w:rFonts w:eastAsiaTheme="minorEastAsia"/>
        </w:rPr>
        <w:t xml:space="preserve">While there may well be direct effects of the pandemic on the </w:t>
      </w:r>
      <w:proofErr w:type="gramStart"/>
      <w:r w:rsidR="00E529B4">
        <w:rPr>
          <w:rFonts w:eastAsiaTheme="minorEastAsia"/>
        </w:rPr>
        <w:t>economy</w:t>
      </w:r>
      <w:proofErr w:type="gramEnd"/>
      <w:r w:rsidR="00E529B4">
        <w:rPr>
          <w:rFonts w:eastAsiaTheme="minorEastAsia"/>
        </w:rPr>
        <w:t xml:space="preserve"> we capture here the main effect of the economic response being mediated by caution. </w:t>
      </w:r>
    </w:p>
    <w:p w14:paraId="27D52357" w14:textId="77777777" w:rsidR="00025309" w:rsidRDefault="00025309" w:rsidP="007D1E71">
      <w:pPr>
        <w:jc w:val="both"/>
        <w:rPr>
          <w:rFonts w:eastAsiaTheme="minorEastAsia"/>
        </w:rPr>
      </w:pPr>
    </w:p>
    <w:p w14:paraId="671EA3EA" w14:textId="6DC62343" w:rsidR="00916FF1" w:rsidRPr="00A07926" w:rsidRDefault="00E529B4" w:rsidP="007D1E71">
      <w:pPr>
        <w:jc w:val="both"/>
        <w:rPr>
          <w:rFonts w:eastAsiaTheme="minorEastAsia"/>
        </w:rPr>
      </w:pPr>
      <w:r>
        <w:rPr>
          <w:rFonts w:eastAsiaTheme="minorEastAsia"/>
        </w:rPr>
        <w:t>To complete the economic coupling</w:t>
      </w:r>
      <w:r w:rsidR="00025309">
        <w:rPr>
          <w:rFonts w:eastAsiaTheme="minorEastAsia"/>
        </w:rPr>
        <w:t xml:space="preserve"> model</w:t>
      </w:r>
      <w:r>
        <w:rPr>
          <w:rFonts w:eastAsiaTheme="minorEastAsia"/>
        </w:rPr>
        <w:t xml:space="preserve">, we also </w:t>
      </w:r>
      <w:proofErr w:type="gramStart"/>
      <w:r>
        <w:rPr>
          <w:rFonts w:eastAsiaTheme="minorEastAsia"/>
        </w:rPr>
        <w:t>take into account</w:t>
      </w:r>
      <w:proofErr w:type="gramEnd"/>
      <w:r>
        <w:rPr>
          <w:rFonts w:eastAsiaTheme="minorEastAsia"/>
        </w:rPr>
        <w:t xml:space="preserve"> the effect of economic considerations on the cautionary response</w:t>
      </w:r>
      <w:r w:rsidR="005A248A">
        <w:rPr>
          <w:rFonts w:eastAsiaTheme="minorEastAsia"/>
        </w:rPr>
        <w:t>,</w:t>
      </w:r>
      <w:r>
        <w:rPr>
          <w:rFonts w:eastAsiaTheme="minorEastAsia"/>
        </w:rPr>
        <w:t xml:space="preserve"> by introducing a further dynamic class of </w:t>
      </w:r>
      <w:proofErr w:type="spellStart"/>
      <w:r>
        <w:rPr>
          <w:rFonts w:eastAsiaTheme="minorEastAsia"/>
        </w:rPr>
        <w:t>uncautionable</w:t>
      </w:r>
      <w:proofErr w:type="spellEnd"/>
      <w:r>
        <w:rPr>
          <w:rFonts w:eastAsiaTheme="minorEastAsia"/>
        </w:rPr>
        <w:t xml:space="preserve"> individuals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that become, through economic repercussions, “immune” to cautionary warnings. The economic trigger </w:t>
      </w:r>
      <w:r w:rsidR="00D91ED1">
        <w:rPr>
          <w:rFonts w:eastAsiaTheme="minorEastAsia"/>
        </w:rPr>
        <w:t xml:space="preserve">for this caution insensitivity is simply proportional to the economic depression </w:t>
      </w:r>
      <m:oMath>
        <m:r>
          <w:rPr>
            <w:rFonts w:ascii="Cambria Math" w:eastAsiaTheme="minorEastAsia" w:hAnsi="Cambria Math"/>
          </w:rPr>
          <m:t>1-W</m:t>
        </m:r>
      </m:oMath>
      <w:r w:rsidR="00D91ED1">
        <w:rPr>
          <w:rFonts w:eastAsiaTheme="minorEastAsia"/>
        </w:rPr>
        <w:t xml:space="preserve">, and is absent in the absence of the pandemic when </w:t>
      </w:r>
      <m:oMath>
        <m:r>
          <w:rPr>
            <w:rFonts w:ascii="Cambria Math" w:eastAsiaTheme="minorEastAsia" w:hAnsi="Cambria Math"/>
          </w:rPr>
          <m:t>W=1</m:t>
        </m:r>
      </m:oMath>
      <w:r w:rsidR="00D91ED1">
        <w:rPr>
          <w:rFonts w:eastAsiaTheme="minorEastAsia"/>
        </w:rPr>
        <w:t xml:space="preserve">. Thus, the rate of transition to the </w:t>
      </w:r>
      <w:proofErr w:type="spellStart"/>
      <w:r w:rsidR="00D91ED1">
        <w:rPr>
          <w:rFonts w:eastAsiaTheme="minorEastAsia"/>
        </w:rPr>
        <w:t>uncautionable</w:t>
      </w:r>
      <w:proofErr w:type="spellEnd"/>
      <w:r w:rsidR="00D91ED1">
        <w:rPr>
          <w:rFonts w:eastAsiaTheme="minorEastAsia"/>
        </w:rPr>
        <w:t xml:space="preserve"> state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sidR="00D91ED1">
        <w:rPr>
          <w:rFonts w:eastAsiaTheme="minorEastAsia"/>
        </w:rPr>
        <w:t xml:space="preserve"> from either cautioned or </w:t>
      </w:r>
      <w:proofErr w:type="spellStart"/>
      <w:r w:rsidR="00D91ED1">
        <w:rPr>
          <w:rFonts w:eastAsiaTheme="minorEastAsia"/>
        </w:rPr>
        <w:t>uncautioned</w:t>
      </w:r>
      <w:proofErr w:type="spellEnd"/>
      <w:r w:rsidR="00D91ED1">
        <w:rPr>
          <w:rFonts w:eastAsiaTheme="minorEastAsia"/>
        </w:rPr>
        <w:t xml:space="preserve"> </w:t>
      </w:r>
      <w:proofErr w:type="spellStart"/>
      <w:r w:rsidR="005A248A">
        <w:rPr>
          <w:rFonts w:eastAsiaTheme="minorEastAsia"/>
        </w:rPr>
        <w:t>susceptibles</w:t>
      </w:r>
      <w:proofErr w:type="spellEnd"/>
      <w:r w:rsidR="005A248A">
        <w:rPr>
          <w:rFonts w:eastAsiaTheme="minorEastAsia"/>
        </w:rPr>
        <w:t xml:space="preserve"> </w:t>
      </w:r>
      <w:r w:rsidR="00D91ED1">
        <w:rPr>
          <w:rFonts w:eastAsiaTheme="minorEastAsia"/>
        </w:rPr>
        <w:t xml:space="preserve">is modelled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r>
          <w:rPr>
            <w:rFonts w:ascii="Cambria Math" w:eastAsiaTheme="minorEastAsia" w:hAnsi="Cambria Math"/>
          </w:rPr>
          <m:t>1-W</m:t>
        </m:r>
        <m:r>
          <w:rPr>
            <w:rFonts w:ascii="Cambria Math" w:eastAsiaTheme="minorEastAsia" w:hAnsi="Cambria Math"/>
          </w:rPr>
          <m:t>)</m:t>
        </m:r>
      </m:oMath>
      <w:r w:rsidR="005A248A">
        <w:rPr>
          <w:rFonts w:eastAsiaTheme="minorEastAsia"/>
        </w:rPr>
        <w:t xml:space="preserve"> times their fractions in the population,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5A248A">
        <w:rPr>
          <w:rFonts w:eastAsiaTheme="minorEastAsia"/>
        </w:rPr>
        <w:t xml:space="preserve"> or </w:t>
      </w:r>
      <m:oMath>
        <m:r>
          <w:rPr>
            <w:rFonts w:ascii="Cambria Math" w:eastAsiaTheme="minorEastAsia" w:hAnsi="Cambria Math"/>
          </w:rPr>
          <m:t>S</m:t>
        </m:r>
      </m:oMath>
      <w:r w:rsidR="00D91ED1">
        <w:rPr>
          <w:rFonts w:eastAsiaTheme="minorEastAsia"/>
        </w:rPr>
        <w:t xml:space="preserve">. As with the cautioned class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D91ED1">
        <w:rPr>
          <w:rFonts w:eastAsiaTheme="minorEastAsia"/>
        </w:rPr>
        <w:t xml:space="preserve">, we also allow for exponential decay of economic </w:t>
      </w:r>
      <w:proofErr w:type="spellStart"/>
      <w:r w:rsidR="00D91ED1">
        <w:rPr>
          <w:rFonts w:eastAsiaTheme="minorEastAsia"/>
        </w:rPr>
        <w:t>uncautionability</w:t>
      </w:r>
      <w:proofErr w:type="spellEnd"/>
      <w:r w:rsidR="00D91ED1">
        <w:rPr>
          <w:rFonts w:eastAsiaTheme="minorEastAsia"/>
        </w:rPr>
        <w:t xml:space="preserve"> with time</w:t>
      </w:r>
      <w:r w:rsidR="005A248A">
        <w:rPr>
          <w:rFonts w:eastAsiaTheme="minorEastAsia"/>
        </w:rPr>
        <w:t>, here</w:t>
      </w:r>
      <w:r w:rsidR="00025309">
        <w:rPr>
          <w:rFonts w:eastAsiaTheme="minorEastAsia"/>
        </w:rPr>
        <w:t xml:space="preserve"> at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25309">
        <w:rPr>
          <w:rFonts w:eastAsiaTheme="minorEastAsia"/>
        </w:rPr>
        <w:t>. We explore the impact of these four economic coupling parameters in SI fig. S5</w:t>
      </w:r>
      <w:r w:rsidR="005A248A">
        <w:rPr>
          <w:rFonts w:eastAsiaTheme="minorEastAsia"/>
        </w:rPr>
        <w:t xml:space="preserve">, revealing that the key parameter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r w:rsidR="00025309">
        <w:rPr>
          <w:rFonts w:eastAsiaTheme="minorEastAsia"/>
        </w:rPr>
        <w:t xml:space="preserve">. Fixing the magnitude of the economic impact factor </w:t>
      </w:r>
      <m:oMath>
        <m:r>
          <w:rPr>
            <w:rFonts w:ascii="Cambria Math" w:hAnsi="Cambria Math"/>
          </w:rPr>
          <m:t>κ</m:t>
        </m:r>
        <m:r>
          <w:rPr>
            <w:rFonts w:ascii="Cambria Math" w:eastAsiaTheme="minorEastAsia" w:hAnsi="Cambria Math"/>
          </w:rPr>
          <m:t>=0.5</m:t>
        </m:r>
      </m:oMath>
      <w:r w:rsidR="00025309">
        <w:rPr>
          <w:rFonts w:eastAsiaTheme="minorEastAsia"/>
        </w:rPr>
        <w:t xml:space="preserve">, and the timescale of the economic response to a quarter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=1/90</m:t>
        </m:r>
      </m:oMath>
      <w:r w:rsidR="00025309">
        <w:rPr>
          <w:rFonts w:eastAsiaTheme="minorEastAsia"/>
        </w:rPr>
        <w:t xml:space="preserve">, in Fig. 5 we show how economic coupling reduces but does not eliminate the cautionary response, and can explain the occurrence of higher second wave peaks in the pandemic. </w:t>
      </w:r>
    </w:p>
    <w:p w14:paraId="2499747C" w14:textId="0C59ABC0" w:rsidR="00916FF1" w:rsidRDefault="00916FF1" w:rsidP="007D1E71">
      <w:pPr>
        <w:jc w:val="both"/>
      </w:pPr>
      <w:r>
        <w:t xml:space="preserve"> </w:t>
      </w:r>
    </w:p>
    <w:p w14:paraId="5DADF471" w14:textId="57713EF5" w:rsidR="00E76A30" w:rsidRDefault="00E76A30" w:rsidP="007D1E71">
      <w:pPr>
        <w:jc w:val="both"/>
      </w:pPr>
      <w:r>
        <w:t>Perhaps it will be possible for the human population to modulate its cautionary response using widespread information about the negative repercussions of the relaxation of caution. It is the authors</w:t>
      </w:r>
      <w:r w:rsidR="005C179C">
        <w:t>’</w:t>
      </w:r>
      <w:r>
        <w:t xml:space="preserve"> view however that until a </w:t>
      </w:r>
      <w:r w:rsidR="00025309">
        <w:t xml:space="preserve">proven </w:t>
      </w:r>
      <w:r>
        <w:t xml:space="preserve">viable vaccine is </w:t>
      </w:r>
      <w:r w:rsidR="00025309">
        <w:t>available</w:t>
      </w:r>
      <w:r>
        <w:t>,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lastRenderedPageBreak/>
        <w:t>Acknowledgements:</w:t>
      </w:r>
    </w:p>
    <w:p w14:paraId="4346BDA2" w14:textId="0BE5B803" w:rsidR="00E76A30" w:rsidRDefault="00E76A30" w:rsidP="007D1E71">
      <w:pPr>
        <w:jc w:val="both"/>
      </w:pPr>
    </w:p>
    <w:p w14:paraId="06D0FB7F" w14:textId="7668B2BC" w:rsidR="00E76A30" w:rsidRDefault="00E76A30" w:rsidP="007D1E71">
      <w:pPr>
        <w:jc w:val="both"/>
      </w:pPr>
      <w:r>
        <w:t xml:space="preserve">The authors wish to acknowledge the support </w:t>
      </w:r>
      <w:r w:rsidR="00CB4CC3">
        <w:t>of the European Centre for Living Technology, and the access to Covid-19 data compiled by Johns Hopkins University</w:t>
      </w:r>
      <w:r w:rsidR="00781A18">
        <w:t>.</w:t>
      </w:r>
      <w:r w:rsidR="00CB4CC3">
        <w:t xml:space="preserve"> The authors wish to thank those who made their modelling software examples available on </w:t>
      </w:r>
      <w:r w:rsidR="006B7A29">
        <w:t>GitHub</w:t>
      </w:r>
      <w:proofErr w:type="gramStart"/>
      <w:r w:rsidR="00CB4CC3">
        <w:t xml:space="preserve">, in particular, Dr. Alison </w:t>
      </w:r>
      <w:r w:rsidR="00781A18">
        <w:t>Hill</w:t>
      </w:r>
      <w:proofErr w:type="gramEnd"/>
      <w:r w:rsidR="00781A18">
        <w:t xml:space="preserve"> (</w:t>
      </w:r>
      <w:r w:rsidR="00781A18" w:rsidRPr="00781A18">
        <w:t>https://github.com/alsnhll/SEIR_COVID19</w:t>
      </w:r>
      <w:r w:rsidR="00781A18">
        <w:t xml:space="preserve">) </w:t>
      </w:r>
      <w:r w:rsidR="00CB4CC3">
        <w:t xml:space="preserve">and the authors of the </w:t>
      </w:r>
      <w:proofErr w:type="spellStart"/>
      <w:r w:rsidR="00CB4CC3">
        <w:t>Py</w:t>
      </w:r>
      <w:r w:rsidR="00781A18">
        <w:t>Gom</w:t>
      </w:r>
      <w:proofErr w:type="spellEnd"/>
      <w:r w:rsidR="00CB4CC3">
        <w:t xml:space="preserve"> package</w:t>
      </w:r>
      <w:r w:rsidR="00781A18">
        <w:t xml:space="preserve"> (</w:t>
      </w:r>
      <w:r w:rsidR="00781A18" w:rsidRPr="00781A18">
        <w:t>https://github.com/PublicHealthEngland/pygom</w:t>
      </w:r>
      <w:r w:rsidR="00781A18">
        <w:t>).</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25309" w:rsidRDefault="000253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25309" w:rsidRDefault="00025309"/>
                  </w:txbxContent>
                </v:textbox>
              </v:shape>
            </w:pict>
          </mc:Fallback>
        </mc:AlternateContent>
      </w:r>
      <w:r w:rsidR="00D5526F" w:rsidRPr="000702F7">
        <w:rPr>
          <w:b/>
          <w:bCs/>
        </w:rPr>
        <w:t>Figures</w:t>
      </w:r>
    </w:p>
    <w:p w14:paraId="452442B6" w14:textId="69B1B02E" w:rsidR="00F63C94" w:rsidRDefault="00904403">
      <w:r w:rsidRPr="00904403">
        <w:rPr>
          <w:noProof/>
        </w:rPr>
        <w:t xml:space="preserve"> </w:t>
      </w:r>
      <w:r w:rsidR="00CD16AA">
        <w:rPr>
          <w:noProof/>
        </w:rPr>
        <w:drawing>
          <wp:inline distT="0" distB="0" distL="0" distR="0" wp14:anchorId="60C0D6A3" wp14:editId="210168D6">
            <wp:extent cx="5727700" cy="3736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extLst>
                        <a:ext uri="{28A0092B-C50C-407E-A947-70E740481C1C}">
                          <a14:useLocalDpi xmlns:a14="http://schemas.microsoft.com/office/drawing/2010/main" val="0"/>
                        </a:ext>
                      </a:extLst>
                    </a:blip>
                    <a:stretch>
                      <a:fillRect/>
                    </a:stretch>
                  </pic:blipFill>
                  <pic:spPr>
                    <a:xfrm>
                      <a:off x="0" y="0"/>
                      <a:ext cx="5727700" cy="3736340"/>
                    </a:xfrm>
                    <a:prstGeom prst="rect">
                      <a:avLst/>
                    </a:prstGeom>
                  </pic:spPr>
                </pic:pic>
              </a:graphicData>
            </a:graphic>
          </wp:inline>
        </w:drawing>
      </w:r>
    </w:p>
    <w:p w14:paraId="52977A35" w14:textId="63B8FBF2" w:rsidR="00831BED" w:rsidRDefault="00831BED" w:rsidP="00130C34">
      <w:pPr>
        <w:ind w:firstLine="142"/>
      </w:pPr>
    </w:p>
    <w:p w14:paraId="285B2E7E" w14:textId="3211D754" w:rsidR="003E6BA5"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3E6BA5">
        <w:rPr>
          <w:sz w:val="22"/>
          <w:szCs w:val="22"/>
        </w:rPr>
        <w:t xml:space="preserve"> Superimposed with the data is a three-segment linear fit (using the python pwlf module).</w:t>
      </w:r>
      <w:r w:rsidR="00B05583">
        <w:rPr>
          <w:sz w:val="22"/>
          <w:szCs w:val="22"/>
        </w:rPr>
        <w:t xml:space="preserve"> </w:t>
      </w:r>
      <w:r w:rsidR="003E6BA5">
        <w:rPr>
          <w:b/>
          <w:bCs/>
          <w:sz w:val="22"/>
          <w:szCs w:val="22"/>
        </w:rPr>
        <w:t>B)</w:t>
      </w:r>
      <w:r w:rsidR="003E6BA5">
        <w:rPr>
          <w:sz w:val="22"/>
          <w:szCs w:val="22"/>
        </w:rPr>
        <w:t xml:space="preserve"> The weekly averages of </w:t>
      </w:r>
      <w:r w:rsidR="00313967">
        <w:rPr>
          <w:sz w:val="22"/>
          <w:szCs w:val="22"/>
        </w:rPr>
        <w:t xml:space="preserve">daily </w:t>
      </w:r>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w:t>
      </w:r>
      <w:r w:rsidR="003E6BA5">
        <w:rPr>
          <w:sz w:val="22"/>
          <w:szCs w:val="22"/>
        </w:rPr>
        <w:t>, with the same three-segment linear fit superimposed</w:t>
      </w:r>
      <w:r w:rsidR="006B7A29">
        <w:rPr>
          <w:sz w:val="22"/>
          <w:szCs w:val="22"/>
        </w:rPr>
        <w:t>.</w:t>
      </w:r>
      <w:r w:rsidR="00130C34">
        <w:rPr>
          <w:sz w:val="22"/>
          <w:szCs w:val="22"/>
        </w:rPr>
        <w:t xml:space="preserve"> </w:t>
      </w:r>
      <w:r w:rsidR="003E6BA5">
        <w:rPr>
          <w:b/>
          <w:bCs/>
          <w:sz w:val="22"/>
          <w:szCs w:val="22"/>
        </w:rPr>
        <w:t>D)</w:t>
      </w:r>
      <w:r w:rsidR="003E6BA5">
        <w:rPr>
          <w:sz w:val="22"/>
          <w:szCs w:val="22"/>
        </w:rPr>
        <w:t xml:space="preserve"> The weekly averages of </w:t>
      </w:r>
      <w:r w:rsidR="00313967">
        <w:rPr>
          <w:sz w:val="22"/>
          <w:szCs w:val="22"/>
        </w:rPr>
        <w:t xml:space="preserve">daily </w:t>
      </w:r>
      <w:r w:rsidR="003E6BA5">
        <w:rPr>
          <w:sz w:val="22"/>
          <w:szCs w:val="22"/>
        </w:rPr>
        <w:t>confirmed cases for the same European countries.</w:t>
      </w:r>
      <w:r w:rsidR="00313967">
        <w:rPr>
          <w:sz w:val="22"/>
          <w:szCs w:val="22"/>
        </w:rPr>
        <w:t xml:space="preserve">  Note that the long regions of linear growth in the cumulative graphs in (A) and (C) correspond to broadened peaks in the daily case counts; these broadened peaks are not produced by traditional SIR or SEIR models.</w:t>
      </w:r>
      <w:r w:rsidR="00783CA3">
        <w:rPr>
          <w:sz w:val="22"/>
          <w:szCs w:val="22"/>
        </w:rPr>
        <w:t xml:space="preserve">  </w:t>
      </w:r>
      <w:r w:rsidR="00CD16AA">
        <w:rPr>
          <w:sz w:val="22"/>
          <w:szCs w:val="22"/>
        </w:rPr>
        <w:t>For reference, infection rate and daily infection rate of a standard SIR model is shown in pink dashed lines, in (A) and (B), respectively.</w:t>
      </w:r>
      <w:r w:rsidR="0057313C">
        <w:rPr>
          <w:sz w:val="22"/>
          <w:szCs w:val="22"/>
        </w:rPr>
        <w:t xml:space="preserve"> </w:t>
      </w:r>
      <w:r w:rsidR="0057313C" w:rsidRPr="0057313C">
        <w:rPr>
          <w:sz w:val="22"/>
          <w:szCs w:val="22"/>
        </w:rPr>
        <w:t>Data for Fig. 1 is taken from John Hopkins University compilation and averaged over 7 days to remove weekly oscillations in reporting.</w:t>
      </w:r>
    </w:p>
    <w:p w14:paraId="5D137DF4" w14:textId="77777777" w:rsidR="003E6BA5" w:rsidRPr="003E6BA5" w:rsidRDefault="003E6BA5" w:rsidP="00B05583">
      <w:pPr>
        <w:jc w:val="both"/>
        <w:rPr>
          <w:sz w:val="22"/>
          <w:szCs w:val="22"/>
        </w:rPr>
      </w:pP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3976D4">
      <w:pPr>
        <w:jc w:val="center"/>
      </w:pPr>
      <w:r>
        <w:rPr>
          <w:noProof/>
        </w:rPr>
        <w:lastRenderedPageBreak/>
        <w:drawing>
          <wp:inline distT="0" distB="0" distL="0" distR="0" wp14:anchorId="08E21003" wp14:editId="1FA3A335">
            <wp:extent cx="4816554" cy="46905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7196" cy="4700897"/>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8928AF">
        <w:rPr>
          <w:sz w:val="22"/>
        </w:rPr>
        <w:t>Exposure=0.4</w:t>
      </w:r>
      <w:r w:rsidR="00BA3A52" w:rsidRPr="00BA3A52">
        <w:rPr>
          <w:sz w:val="22"/>
          <w:szCs w:val="22"/>
          <w:lang w:val="en-US"/>
        </w:rPr>
        <w:t>,</w:t>
      </w:r>
      <w:r w:rsidR="00BA3A52" w:rsidRPr="008928AF">
        <w:rPr>
          <w:sz w:val="22"/>
        </w:rPr>
        <w:t xml:space="preserve"> IncubPeriod=5</w:t>
      </w:r>
      <w:r w:rsidR="00BA3A52" w:rsidRPr="00BA3A52">
        <w:rPr>
          <w:sz w:val="22"/>
          <w:szCs w:val="22"/>
          <w:lang w:val="en-US"/>
        </w:rPr>
        <w:t>,</w:t>
      </w:r>
      <w:r w:rsidR="00BA3A52" w:rsidRPr="008928AF">
        <w:rPr>
          <w:sz w:val="22"/>
        </w:rPr>
        <w:t xml:space="preserve"> DurMildInf=10</w:t>
      </w:r>
      <w:r w:rsidR="00BA3A52" w:rsidRPr="00BA3A52">
        <w:rPr>
          <w:sz w:val="22"/>
          <w:szCs w:val="22"/>
          <w:lang w:val="en-US"/>
        </w:rPr>
        <w:t>,</w:t>
      </w:r>
      <w:r w:rsidR="00BA3A52">
        <w:rPr>
          <w:sz w:val="22"/>
          <w:szCs w:val="22"/>
          <w:lang w:val="en-US"/>
        </w:rPr>
        <w:t xml:space="preserve"> </w:t>
      </w:r>
      <w:r w:rsidR="00BA3A52" w:rsidRPr="008928AF">
        <w:rPr>
          <w:sz w:val="22"/>
        </w:rPr>
        <w:t>FracMild=0.7</w:t>
      </w:r>
      <w:r w:rsidR="00BA3A52" w:rsidRPr="00BA3A52">
        <w:rPr>
          <w:sz w:val="22"/>
          <w:szCs w:val="22"/>
          <w:lang w:val="en-US"/>
        </w:rPr>
        <w:t>,</w:t>
      </w:r>
      <w:r w:rsidR="00BA3A52" w:rsidRPr="008928AF">
        <w:rPr>
          <w:sz w:val="22"/>
        </w:rPr>
        <w:t xml:space="preserve">  FracSevere=0.20</w:t>
      </w:r>
      <w:r w:rsidR="00BA3A52" w:rsidRPr="00BA3A52">
        <w:rPr>
          <w:sz w:val="22"/>
          <w:szCs w:val="22"/>
          <w:lang w:val="en-US"/>
        </w:rPr>
        <w:t xml:space="preserve">, </w:t>
      </w:r>
      <w:r w:rsidR="00BA3A52" w:rsidRPr="008928AF">
        <w:rPr>
          <w:sz w:val="22"/>
        </w:rPr>
        <w:t>FracCritical=0.1</w:t>
      </w:r>
      <w:r w:rsidR="00BA3A52" w:rsidRPr="00BA3A52">
        <w:rPr>
          <w:sz w:val="22"/>
          <w:szCs w:val="22"/>
          <w:lang w:val="en-US"/>
        </w:rPr>
        <w:t>,</w:t>
      </w:r>
      <w:r w:rsidR="00BA3A52">
        <w:rPr>
          <w:sz w:val="22"/>
          <w:szCs w:val="22"/>
        </w:rPr>
        <w:t xml:space="preserve"> </w:t>
      </w:r>
      <w:r w:rsidR="00BA3A52" w:rsidRPr="008928AF">
        <w:rPr>
          <w:sz w:val="22"/>
        </w:rPr>
        <w:t>CFR=0.05</w:t>
      </w:r>
      <w:r w:rsidR="00BA3A52" w:rsidRPr="00BA3A52">
        <w:rPr>
          <w:sz w:val="22"/>
          <w:szCs w:val="22"/>
          <w:lang w:val="en-US"/>
        </w:rPr>
        <w:t xml:space="preserve">, </w:t>
      </w:r>
      <w:r w:rsidR="00BA3A52" w:rsidRPr="008928AF">
        <w:rPr>
          <w:sz w:val="22"/>
        </w:rPr>
        <w:t>TimeICUDeath=5</w:t>
      </w:r>
      <w:r w:rsidR="00BA3A52" w:rsidRPr="00BA3A52">
        <w:rPr>
          <w:sz w:val="22"/>
          <w:szCs w:val="22"/>
          <w:lang w:val="en-US"/>
        </w:rPr>
        <w:t xml:space="preserve">, </w:t>
      </w:r>
      <w:r w:rsidR="00BA3A52" w:rsidRPr="008928AF">
        <w:rPr>
          <w:sz w:val="22"/>
        </w:rPr>
        <w:t>DurHosp=4</w:t>
      </w:r>
      <w:r w:rsidR="00BA3A52" w:rsidRPr="00BA3A52">
        <w:rPr>
          <w:sz w:val="22"/>
          <w:szCs w:val="22"/>
          <w:lang w:val="en-US"/>
        </w:rPr>
        <w:t>,</w:t>
      </w:r>
      <w:r w:rsidR="00BA3A52" w:rsidRPr="008928AF">
        <w:rPr>
          <w:sz w:val="22"/>
        </w:rPr>
        <w:t xml:space="preserve"> FracConfirmedDet=0.125</w:t>
      </w:r>
      <w:r w:rsidR="00BA3A52" w:rsidRPr="00BA3A52">
        <w:rPr>
          <w:sz w:val="22"/>
          <w:szCs w:val="22"/>
          <w:lang w:val="en-US"/>
        </w:rPr>
        <w:t>,</w:t>
      </w:r>
      <w:r w:rsidR="00BA3A52">
        <w:rPr>
          <w:sz w:val="22"/>
          <w:szCs w:val="22"/>
          <w:lang w:val="en-US"/>
        </w:rPr>
        <w:t xml:space="preserve"> </w:t>
      </w:r>
      <w:r w:rsidR="00BA3A52" w:rsidRPr="008928AF">
        <w:rPr>
          <w:sz w:val="22"/>
        </w:rPr>
        <w:t>FracDeathsDet=1.0</w:t>
      </w:r>
      <w:r w:rsidR="00BA3A52">
        <w:rPr>
          <w:sz w:val="22"/>
          <w:szCs w:val="22"/>
          <w:lang w:val="en-US"/>
        </w:rPr>
        <w:t xml:space="preserve">, </w:t>
      </w:r>
      <w:r w:rsidR="00BA3A52" w:rsidRPr="008928AF">
        <w:rPr>
          <w:sz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8928AF" w:rsidRDefault="00BA3A52" w:rsidP="00AA6EE7">
      <w:pPr>
        <w:jc w:val="both"/>
        <w:rPr>
          <w:sz w:val="22"/>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3D5D810F" w:rsidR="00D509E0" w:rsidRDefault="00D509E0" w:rsidP="00D509E0">
            <w:pPr>
              <w:ind w:left="-35" w:firstLine="1"/>
            </w:pPr>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472CF11E" w:rsidR="00D509E0" w:rsidRDefault="00D509E0" w:rsidP="00D509E0">
            <w:pPr>
              <w:ind w:left="-35" w:firstLine="1"/>
            </w:pPr>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1F93109A" w14:textId="77777777" w:rsidR="00D9479B" w:rsidRPr="00D9479B" w:rsidRDefault="0011114A" w:rsidP="00D9479B">
      <w:pPr>
        <w:pStyle w:val="EndNoteBibliography"/>
        <w:rPr>
          <w:noProof/>
        </w:rPr>
      </w:pPr>
      <w:r>
        <w:fldChar w:fldCharType="begin"/>
      </w:r>
      <w:r>
        <w:instrText xml:space="preserve"> ADDIN EN.REFLIST </w:instrText>
      </w:r>
      <w:r>
        <w:fldChar w:fldCharType="separate"/>
      </w:r>
      <w:r w:rsidR="00D9479B" w:rsidRPr="00D9479B">
        <w:rPr>
          <w:noProof/>
        </w:rPr>
        <w:t>1.</w:t>
      </w:r>
      <w:r w:rsidR="00D9479B" w:rsidRPr="00D9479B">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16A85C7C" w14:textId="77777777" w:rsidR="00D9479B" w:rsidRPr="00D9479B" w:rsidRDefault="00D9479B" w:rsidP="00D9479B">
      <w:pPr>
        <w:pStyle w:val="EndNoteBibliography"/>
        <w:rPr>
          <w:noProof/>
        </w:rPr>
      </w:pPr>
      <w:r w:rsidRPr="00D9479B">
        <w:rPr>
          <w:noProof/>
        </w:rPr>
        <w:t>2.</w:t>
      </w:r>
      <w:r w:rsidRPr="00D9479B">
        <w:rPr>
          <w:noProof/>
        </w:rPr>
        <w:tab/>
        <w:t>R.M., A., B., A., R.M., M.: Infectious Diseases of Humans: Dynamics and Control. Oxford University Press, Oxford, UK (1992) 9780198540403</w:t>
      </w:r>
    </w:p>
    <w:p w14:paraId="56D8D089" w14:textId="77777777" w:rsidR="00D9479B" w:rsidRPr="00D9479B" w:rsidRDefault="00D9479B" w:rsidP="00D9479B">
      <w:pPr>
        <w:pStyle w:val="EndNoteBibliography"/>
        <w:rPr>
          <w:noProof/>
        </w:rPr>
      </w:pPr>
      <w:r w:rsidRPr="00D9479B">
        <w:rPr>
          <w:noProof/>
        </w:rPr>
        <w:t>3.</w:t>
      </w:r>
      <w:r w:rsidRPr="00D9479B">
        <w:rPr>
          <w:noProof/>
        </w:rPr>
        <w:tab/>
        <w:t>Anderson, R., May, R.: Directly transmitted infections diseases: control by vaccination. Science 215, 1053-1060 (1982) 10.1126/science.7063839</w:t>
      </w:r>
    </w:p>
    <w:p w14:paraId="5D27F753" w14:textId="77777777" w:rsidR="00D9479B" w:rsidRPr="00D9479B" w:rsidRDefault="00D9479B" w:rsidP="00D9479B">
      <w:pPr>
        <w:pStyle w:val="EndNoteBibliography"/>
        <w:rPr>
          <w:noProof/>
        </w:rPr>
      </w:pPr>
      <w:r w:rsidRPr="00D9479B">
        <w:rPr>
          <w:noProof/>
        </w:rPr>
        <w:t>4.</w:t>
      </w:r>
      <w:r w:rsidRPr="00D9479B">
        <w:rPr>
          <w:noProof/>
        </w:rPr>
        <w:tab/>
        <w:t>Hethcote, H.W.: The Mathematics of Infectious Diseases. SIAM Rev. 42, 599–653 (2000) 10.1137/s0036144500371907</w:t>
      </w:r>
    </w:p>
    <w:p w14:paraId="70C77BEF" w14:textId="2FE68025" w:rsidR="00D9479B" w:rsidRPr="00D9479B" w:rsidRDefault="00D9479B" w:rsidP="00D9479B">
      <w:pPr>
        <w:pStyle w:val="EndNoteBibliography"/>
        <w:rPr>
          <w:noProof/>
        </w:rPr>
      </w:pPr>
      <w:r w:rsidRPr="00D9479B">
        <w:rPr>
          <w:noProof/>
        </w:rPr>
        <w:t>5.</w:t>
      </w:r>
      <w:r w:rsidRPr="00D9479B">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9" w:history="1">
        <w:r w:rsidRPr="00D9479B">
          <w:rPr>
            <w:rStyle w:val="Hyperlink"/>
            <w:noProof/>
          </w:rPr>
          <w:t>https://doi.org/10.1001/jama.2020.2648</w:t>
        </w:r>
      </w:hyperlink>
    </w:p>
    <w:p w14:paraId="757DFEFF" w14:textId="0F01B558" w:rsidR="00D9479B" w:rsidRPr="00D9479B" w:rsidRDefault="00D9479B" w:rsidP="00D9479B">
      <w:pPr>
        <w:pStyle w:val="EndNoteBibliography"/>
        <w:rPr>
          <w:noProof/>
        </w:rPr>
      </w:pPr>
      <w:r w:rsidRPr="00D9479B">
        <w:rPr>
          <w:noProof/>
        </w:rPr>
        <w:t>6.</w:t>
      </w:r>
      <w:r w:rsidRPr="00D9479B">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0" w:history="1">
        <w:r w:rsidRPr="00D9479B">
          <w:rPr>
            <w:rStyle w:val="Hyperlink"/>
            <w:noProof/>
          </w:rPr>
          <w:t>https://doi.org/10.1016/j.ijid.2020.02.058</w:t>
        </w:r>
      </w:hyperlink>
    </w:p>
    <w:p w14:paraId="7CE7C4A4" w14:textId="0F677A43" w:rsidR="00D9479B" w:rsidRPr="00D9479B" w:rsidRDefault="00D9479B" w:rsidP="00D9479B">
      <w:pPr>
        <w:pStyle w:val="EndNoteBibliography"/>
        <w:rPr>
          <w:noProof/>
        </w:rPr>
      </w:pPr>
      <w:r w:rsidRPr="00D9479B">
        <w:rPr>
          <w:noProof/>
        </w:rPr>
        <w:t>7.</w:t>
      </w:r>
      <w:r w:rsidRPr="00D9479B">
        <w:rPr>
          <w:noProof/>
        </w:rPr>
        <w:tab/>
        <w:t xml:space="preserve">Giordano, G., Blanchini, F., Bruno, R., Colaneri, P., Di Filippo, A., Di Matteo, A., Colaneri, M.: Modelling the COVID-19 epidemic and implementation of population-wide interventions in Italy. Nature Medicine (2020) </w:t>
      </w:r>
      <w:hyperlink r:id="rId31" w:history="1">
        <w:r w:rsidRPr="00D9479B">
          <w:rPr>
            <w:rStyle w:val="Hyperlink"/>
            <w:noProof/>
          </w:rPr>
          <w:t>https://doi.org/10.1038/s41591-020-0883-7</w:t>
        </w:r>
      </w:hyperlink>
    </w:p>
    <w:p w14:paraId="6B724ADF" w14:textId="77777777" w:rsidR="00D9479B" w:rsidRPr="00D9479B" w:rsidRDefault="00D9479B" w:rsidP="00D9479B">
      <w:pPr>
        <w:pStyle w:val="EndNoteBibliography"/>
        <w:rPr>
          <w:noProof/>
        </w:rPr>
      </w:pPr>
      <w:r w:rsidRPr="00D9479B">
        <w:rPr>
          <w:noProof/>
        </w:rPr>
        <w:t>8.</w:t>
      </w:r>
      <w:r w:rsidRPr="00D9479B">
        <w:rPr>
          <w:noProof/>
        </w:rPr>
        <w:tab/>
        <w:t>Gumel, A.B., Ruan, S., Day, T., Watmough, J., Brauer, F., van den Driessche, P., Gabrielson, D., Bowman, C., Alexander, M.E., Ardal, S., Wu, J., Sahai, B.M.: Modelling strategies for controlling SARS outbreaks. Proc Biol Sci 271, 2223-2232 (2004) 10.1098/rspb.2004.2800</w:t>
      </w:r>
    </w:p>
    <w:p w14:paraId="505A9DF0" w14:textId="77777777" w:rsidR="00D9479B" w:rsidRPr="00D9479B" w:rsidRDefault="00D9479B" w:rsidP="00D9479B">
      <w:pPr>
        <w:pStyle w:val="EndNoteBibliography"/>
        <w:rPr>
          <w:noProof/>
        </w:rPr>
      </w:pPr>
      <w:r w:rsidRPr="00D9479B">
        <w:rPr>
          <w:noProof/>
        </w:rPr>
        <w:t>9.</w:t>
      </w:r>
      <w:r w:rsidRPr="00D9479B">
        <w:rPr>
          <w:noProof/>
        </w:rPr>
        <w:tab/>
        <w:t xml:space="preserve">Klepac, P., Kucharski, A.J., Conlan, A.J., Kissler, S., Tang, M., Fry, H., Gog, J.R.: Contacts in context: large-scale setting-specific social mixing matrices from the BBC Pandemic project. medRxiv (2020) </w:t>
      </w:r>
    </w:p>
    <w:p w14:paraId="165C6C32" w14:textId="77777777" w:rsidR="00D9479B" w:rsidRPr="00D9479B" w:rsidRDefault="00D9479B" w:rsidP="00D9479B">
      <w:pPr>
        <w:pStyle w:val="EndNoteBibliography"/>
        <w:rPr>
          <w:noProof/>
        </w:rPr>
      </w:pPr>
      <w:r w:rsidRPr="00D9479B">
        <w:rPr>
          <w:noProof/>
        </w:rPr>
        <w:t>10.</w:t>
      </w:r>
      <w:r w:rsidRPr="00D9479B">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4BA985C" w14:textId="6D66EE0E" w:rsidR="00D9479B" w:rsidRPr="00D9479B" w:rsidRDefault="00D9479B" w:rsidP="00D9479B">
      <w:pPr>
        <w:pStyle w:val="EndNoteBibliography"/>
        <w:rPr>
          <w:noProof/>
        </w:rPr>
      </w:pPr>
      <w:r w:rsidRPr="00D9479B">
        <w:rPr>
          <w:noProof/>
        </w:rPr>
        <w:t>11.</w:t>
      </w:r>
      <w:r w:rsidRPr="00D9479B">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2" w:history="1">
        <w:r w:rsidRPr="00D9479B">
          <w:rPr>
            <w:rStyle w:val="Hyperlink"/>
            <w:noProof/>
          </w:rPr>
          <w:t>https://doi.org/10.1016/S2214-109X(20)30074-7</w:t>
        </w:r>
      </w:hyperlink>
    </w:p>
    <w:p w14:paraId="3FDC8BC8" w14:textId="77777777" w:rsidR="00D9479B" w:rsidRPr="00D9479B" w:rsidRDefault="00D9479B" w:rsidP="00D9479B">
      <w:pPr>
        <w:pStyle w:val="EndNoteBibliography"/>
        <w:rPr>
          <w:noProof/>
        </w:rPr>
      </w:pPr>
      <w:r w:rsidRPr="00D9479B">
        <w:rPr>
          <w:noProof/>
        </w:rPr>
        <w:t>12.</w:t>
      </w:r>
      <w:r w:rsidRPr="00D9479B">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6A15271" w14:textId="77777777" w:rsidR="00D9479B" w:rsidRPr="00D9479B" w:rsidRDefault="00D9479B" w:rsidP="00D9479B">
      <w:pPr>
        <w:pStyle w:val="EndNoteBibliography"/>
        <w:rPr>
          <w:noProof/>
        </w:rPr>
      </w:pPr>
      <w:r w:rsidRPr="00D9479B">
        <w:rPr>
          <w:noProof/>
        </w:rPr>
        <w:lastRenderedPageBreak/>
        <w:t>13.</w:t>
      </w:r>
      <w:r w:rsidRPr="00D9479B">
        <w:rPr>
          <w:noProof/>
        </w:rPr>
        <w:tab/>
        <w:t>Angulo, J., Yu, H.-L., Langousis, A., Kolovos, A., Wang, J., Madrid, A.E., Christakos, G.: Spatiotemporal Infectious Disease Modeling: A BME-SIR Approach. PLOS ONE 8, e72168 (2013) 10.1371/journal.pone.0072168</w:t>
      </w:r>
    </w:p>
    <w:p w14:paraId="6A78A603" w14:textId="77777777" w:rsidR="00D9479B" w:rsidRPr="00D9479B" w:rsidRDefault="00D9479B" w:rsidP="00D9479B">
      <w:pPr>
        <w:pStyle w:val="EndNoteBibliography"/>
        <w:rPr>
          <w:noProof/>
        </w:rPr>
      </w:pPr>
      <w:r w:rsidRPr="00D9479B">
        <w:rPr>
          <w:noProof/>
        </w:rPr>
        <w:t>14.</w:t>
      </w:r>
      <w:r w:rsidRPr="00D9479B">
        <w:rPr>
          <w:noProof/>
        </w:rPr>
        <w:tab/>
        <w:t>Keeling, M.J.: The effects of local spatial structure on epidemiological invasions. Proc Biol Sci 266, 859-867 (1999) 10.1098/rspb.1999.0716</w:t>
      </w:r>
    </w:p>
    <w:p w14:paraId="734F6C2C" w14:textId="77777777" w:rsidR="00D9479B" w:rsidRPr="00D9479B" w:rsidRDefault="00D9479B" w:rsidP="00D9479B">
      <w:pPr>
        <w:pStyle w:val="EndNoteBibliography"/>
        <w:rPr>
          <w:noProof/>
        </w:rPr>
      </w:pPr>
      <w:r w:rsidRPr="00D9479B">
        <w:rPr>
          <w:noProof/>
        </w:rPr>
        <w:t>15.</w:t>
      </w:r>
      <w:r w:rsidRPr="00D9479B">
        <w:rPr>
          <w:noProof/>
        </w:rPr>
        <w:tab/>
        <w:t>Danon, L., Brooks-Pollock, E., Bailey, M., Keeling, M.J.: A spatial model of CoVID-19 transmission in England and Wales: early spread and peak timing. medRxiv 2020.2002.2012.20022566 (2020) 10.1101/2020.02.12.20022566</w:t>
      </w:r>
    </w:p>
    <w:p w14:paraId="28ED7B10" w14:textId="77777777" w:rsidR="00D9479B" w:rsidRPr="00D9479B" w:rsidRDefault="00D9479B" w:rsidP="00D9479B">
      <w:pPr>
        <w:pStyle w:val="EndNoteBibliography"/>
        <w:rPr>
          <w:noProof/>
        </w:rPr>
      </w:pPr>
      <w:r w:rsidRPr="00D9479B">
        <w:rPr>
          <w:noProof/>
        </w:rPr>
        <w:t>16.</w:t>
      </w:r>
      <w:r w:rsidRPr="00D9479B">
        <w:rPr>
          <w:noProof/>
        </w:rPr>
        <w:tab/>
        <w:t xml:space="preserve">Ziff, A.L., Ziff, R.M.: Fractal kinetics of COVID-19 pandemic. medRxiv (2020) </w:t>
      </w:r>
    </w:p>
    <w:p w14:paraId="6C09A876" w14:textId="77777777" w:rsidR="00D9479B" w:rsidRPr="00D9479B" w:rsidRDefault="00D9479B" w:rsidP="00D9479B">
      <w:pPr>
        <w:pStyle w:val="EndNoteBibliography"/>
        <w:rPr>
          <w:noProof/>
        </w:rPr>
      </w:pPr>
      <w:r w:rsidRPr="00D9479B">
        <w:rPr>
          <w:noProof/>
        </w:rPr>
        <w:t>17.</w:t>
      </w:r>
      <w:r w:rsidRPr="00D9479B">
        <w:rPr>
          <w:noProof/>
        </w:rPr>
        <w:tab/>
        <w:t>Simoes, J.M.: Spatial Epidemic Modelling in Social Networks. AIP Conference Proceedings 776, 287-297 (2005) 10.1063/1.1985395</w:t>
      </w:r>
    </w:p>
    <w:p w14:paraId="740B455E" w14:textId="77777777" w:rsidR="00D9479B" w:rsidRPr="00D9479B" w:rsidRDefault="00D9479B" w:rsidP="00D9479B">
      <w:pPr>
        <w:pStyle w:val="EndNoteBibliography"/>
        <w:rPr>
          <w:noProof/>
        </w:rPr>
      </w:pPr>
      <w:r w:rsidRPr="00D9479B">
        <w:rPr>
          <w:noProof/>
        </w:rPr>
        <w:t>18.</w:t>
      </w:r>
      <w:r w:rsidRPr="00D9479B">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6327B7A1" w14:textId="77777777" w:rsidR="00D9479B" w:rsidRPr="00D9479B" w:rsidRDefault="00D9479B" w:rsidP="00D9479B">
      <w:pPr>
        <w:pStyle w:val="EndNoteBibliography"/>
        <w:rPr>
          <w:noProof/>
        </w:rPr>
      </w:pPr>
      <w:r w:rsidRPr="00D9479B">
        <w:rPr>
          <w:noProof/>
        </w:rPr>
        <w:t>19.</w:t>
      </w:r>
      <w:r w:rsidRPr="00D9479B">
        <w:rPr>
          <w:noProof/>
        </w:rPr>
        <w:tab/>
        <w:t>Hunter, E., Mac Namee, B., Kelleher, J.D.: A Taxonomy for Agent-Based Models in Human Infectious Disease Epidemiology. Journal of Artificial Societies and Social Simulation 20, 2 (2017) 10.18564/jasss.3414</w:t>
      </w:r>
    </w:p>
    <w:p w14:paraId="3AB44B96" w14:textId="77777777" w:rsidR="00D9479B" w:rsidRPr="00D9479B" w:rsidRDefault="00D9479B" w:rsidP="00D9479B">
      <w:pPr>
        <w:pStyle w:val="EndNoteBibliography"/>
        <w:rPr>
          <w:noProof/>
        </w:rPr>
      </w:pPr>
      <w:r w:rsidRPr="00D9479B">
        <w:rPr>
          <w:noProof/>
        </w:rPr>
        <w:t>20.</w:t>
      </w:r>
      <w:r w:rsidRPr="00D9479B">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5EB96583" w14:textId="77777777" w:rsidR="00D9479B" w:rsidRPr="00D9479B" w:rsidRDefault="00D9479B" w:rsidP="00D9479B">
      <w:pPr>
        <w:pStyle w:val="EndNoteBibliography"/>
        <w:rPr>
          <w:noProof/>
        </w:rPr>
      </w:pPr>
      <w:r w:rsidRPr="00D9479B">
        <w:rPr>
          <w:noProof/>
        </w:rPr>
        <w:t>21.</w:t>
      </w:r>
      <w:r w:rsidRPr="00D9479B">
        <w:rPr>
          <w:noProof/>
        </w:rPr>
        <w:tab/>
        <w:t>Wang, C.J., Ng, C.Y., Brook, R.H.: Response to COVID-19 in Taiwan: Big Data Analytics, New Technology, and Proactive Testing. JAMA 323, 1341-1342 (2020) 10.1001/jama.2020.3151</w:t>
      </w:r>
    </w:p>
    <w:p w14:paraId="16D92F19" w14:textId="34F11AFA" w:rsidR="00D9479B" w:rsidRPr="00D9479B" w:rsidRDefault="00D9479B" w:rsidP="00D9479B">
      <w:pPr>
        <w:pStyle w:val="EndNoteBibliography"/>
        <w:rPr>
          <w:noProof/>
        </w:rPr>
      </w:pPr>
      <w:r w:rsidRPr="00D9479B">
        <w:rPr>
          <w:noProof/>
        </w:rPr>
        <w:t>22.</w:t>
      </w:r>
      <w:r w:rsidRPr="00D9479B">
        <w:rPr>
          <w:noProof/>
        </w:rPr>
        <w:tab/>
        <w:t xml:space="preserve">Zhou, C., Su, F., Pei, T., Zhang, A., Du, Y., Luo, B., Cao, Z., Wang, J., Yuan, W., Zhu, Y., Song, C., Chen, J., Xu, J., Li, F., Ma, T., Jiang, L., Yan, F., Yi, J., Hu, Y., Liao, Y., Xiao, H.: COVID-19: Challenges to GIS with Big Data. Geography and Sustainability 1, 77-87 (2020) </w:t>
      </w:r>
      <w:hyperlink r:id="rId33" w:history="1">
        <w:r w:rsidRPr="00D9479B">
          <w:rPr>
            <w:rStyle w:val="Hyperlink"/>
            <w:noProof/>
          </w:rPr>
          <w:t>https://doi.org/10.1016/j.geosus.2020.03.005</w:t>
        </w:r>
      </w:hyperlink>
    </w:p>
    <w:p w14:paraId="678773CF" w14:textId="00CDFAB9" w:rsidR="00D9479B" w:rsidRPr="00D9479B" w:rsidRDefault="00D9479B" w:rsidP="00D9479B">
      <w:pPr>
        <w:pStyle w:val="EndNoteBibliography"/>
        <w:rPr>
          <w:noProof/>
        </w:rPr>
      </w:pPr>
      <w:r w:rsidRPr="00D9479B">
        <w:rPr>
          <w:noProof/>
        </w:rPr>
        <w:t>23.</w:t>
      </w:r>
      <w:r w:rsidRPr="00D9479B">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4" w:history="1">
        <w:r w:rsidRPr="00D9479B">
          <w:rPr>
            <w:rStyle w:val="Hyperlink"/>
            <w:noProof/>
          </w:rPr>
          <w:t>https://doi.org/10.1016/j.ssci.2020.104773</w:t>
        </w:r>
      </w:hyperlink>
    </w:p>
    <w:p w14:paraId="490A80FA" w14:textId="75BED974" w:rsidR="00D9479B" w:rsidRPr="00D9479B" w:rsidRDefault="00D9479B" w:rsidP="00D9479B">
      <w:pPr>
        <w:pStyle w:val="EndNoteBibliography"/>
        <w:rPr>
          <w:noProof/>
        </w:rPr>
      </w:pPr>
      <w:r w:rsidRPr="00D9479B">
        <w:rPr>
          <w:noProof/>
        </w:rPr>
        <w:t>24.</w:t>
      </w:r>
      <w:r w:rsidRPr="00D9479B">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5" w:history="1">
        <w:r w:rsidRPr="00D9479B">
          <w:rPr>
            <w:rStyle w:val="Hyperlink"/>
            <w:noProof/>
          </w:rPr>
          <w:t>https://doi.org/10.1101/2020.03.24.20042291</w:t>
        </w:r>
      </w:hyperlink>
    </w:p>
    <w:p w14:paraId="75FBEEB1" w14:textId="77777777" w:rsidR="00D9479B" w:rsidRPr="00D9479B" w:rsidRDefault="00D9479B" w:rsidP="00D9479B">
      <w:pPr>
        <w:pStyle w:val="EndNoteBibliography"/>
        <w:rPr>
          <w:noProof/>
        </w:rPr>
      </w:pPr>
      <w:r w:rsidRPr="00D9479B">
        <w:rPr>
          <w:noProof/>
        </w:rPr>
        <w:t>25.</w:t>
      </w:r>
      <w:r w:rsidRPr="00D9479B">
        <w:rPr>
          <w:noProof/>
        </w:rPr>
        <w:tab/>
        <w:t>Yin, J., Redovich, J.: Kinetic Modeling of Virus Growth in Cells. Microbiology and Molecular Biology Reviews 82, e00066-00017 (2018) 10.1128/MMBR.00066-17</w:t>
      </w:r>
    </w:p>
    <w:p w14:paraId="06713A3E" w14:textId="77777777" w:rsidR="00D9479B" w:rsidRPr="00D9479B" w:rsidRDefault="00D9479B" w:rsidP="00D9479B">
      <w:pPr>
        <w:pStyle w:val="EndNoteBibliography"/>
        <w:rPr>
          <w:noProof/>
        </w:rPr>
      </w:pPr>
      <w:r w:rsidRPr="00D9479B">
        <w:rPr>
          <w:noProof/>
        </w:rPr>
        <w:t>26.</w:t>
      </w:r>
      <w:r w:rsidRPr="00D9479B">
        <w:rPr>
          <w:noProof/>
        </w:rPr>
        <w:tab/>
        <w:t>Biebricher, C.K., Eigen, M., Gardiner, W.C.: Kinetics of ribonucleic acid replication. Biochemistry 22, 2544-2559 (1983) 10.1021/bi00279a036</w:t>
      </w:r>
    </w:p>
    <w:p w14:paraId="3EC03827" w14:textId="6EDF1085" w:rsidR="00D9479B" w:rsidRPr="00D9479B" w:rsidRDefault="00D9479B" w:rsidP="00D9479B">
      <w:pPr>
        <w:pStyle w:val="EndNoteBibliography"/>
        <w:rPr>
          <w:noProof/>
        </w:rPr>
      </w:pPr>
      <w:r w:rsidRPr="00D9479B">
        <w:rPr>
          <w:noProof/>
        </w:rPr>
        <w:t>27.</w:t>
      </w:r>
      <w:r w:rsidRPr="00D9479B">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36" w:history="1">
        <w:r w:rsidRPr="00D9479B">
          <w:rPr>
            <w:rStyle w:val="Hyperlink"/>
            <w:noProof/>
          </w:rPr>
          <w:t>https://doi.org/10.1016/j.ijdrr.2012.05.002</w:t>
        </w:r>
      </w:hyperlink>
    </w:p>
    <w:p w14:paraId="2EA45399" w14:textId="77777777" w:rsidR="00D9479B" w:rsidRPr="00D9479B" w:rsidRDefault="00D9479B" w:rsidP="00D9479B">
      <w:pPr>
        <w:pStyle w:val="EndNoteBibliography"/>
        <w:rPr>
          <w:noProof/>
        </w:rPr>
      </w:pPr>
      <w:r w:rsidRPr="00D9479B">
        <w:rPr>
          <w:noProof/>
        </w:rPr>
        <w:t>28.</w:t>
      </w:r>
      <w:r w:rsidRPr="00D9479B">
        <w:rPr>
          <w:noProof/>
        </w:rPr>
        <w:tab/>
        <w:t xml:space="preserve">Tye, E., Finnie, T.J.R., Hall, I., Leach, S.: PyGOM - A Python Package for Simplifying Modelling with Systems of Ordinary Differential Equations. ArXiv abs/1803.06934, (2018) </w:t>
      </w:r>
    </w:p>
    <w:p w14:paraId="797B7548" w14:textId="6F37116C" w:rsidR="00A41CB4" w:rsidRDefault="0011114A">
      <w:r>
        <w:lastRenderedPageBreak/>
        <w:fldChar w:fldCharType="end"/>
      </w:r>
    </w:p>
    <w:sectPr w:rsidR="00A41CB4" w:rsidSect="00205CEC">
      <w:footerReference w:type="even" r:id="rId37"/>
      <w:footerReference w:type="default" r:id="rId3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DE0A0" w14:textId="77777777" w:rsidR="002D26F6" w:rsidRDefault="002D26F6" w:rsidP="00205CEC">
      <w:r>
        <w:separator/>
      </w:r>
    </w:p>
  </w:endnote>
  <w:endnote w:type="continuationSeparator" w:id="0">
    <w:p w14:paraId="01CF629D" w14:textId="77777777" w:rsidR="002D26F6" w:rsidRDefault="002D26F6" w:rsidP="00205CEC">
      <w:r>
        <w:continuationSeparator/>
      </w:r>
    </w:p>
  </w:endnote>
  <w:endnote w:type="continuationNotice" w:id="1">
    <w:p w14:paraId="7DEDED6F" w14:textId="77777777" w:rsidR="002D26F6" w:rsidRDefault="002D2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Content>
      <w:p w14:paraId="7D9D1CFC" w14:textId="06123BD5"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025309" w:rsidRDefault="00025309"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Content>
      <w:p w14:paraId="6AA52034" w14:textId="335B524B"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025309" w:rsidRDefault="00025309"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EB7D4" w14:textId="77777777" w:rsidR="002D26F6" w:rsidRDefault="002D26F6" w:rsidP="00205CEC">
      <w:r>
        <w:separator/>
      </w:r>
    </w:p>
  </w:footnote>
  <w:footnote w:type="continuationSeparator" w:id="0">
    <w:p w14:paraId="3EED4E97" w14:textId="77777777" w:rsidR="002D26F6" w:rsidRDefault="002D26F6" w:rsidP="00205CEC">
      <w:r>
        <w:continuationSeparator/>
      </w:r>
    </w:p>
  </w:footnote>
  <w:footnote w:type="continuationNotice" w:id="1">
    <w:p w14:paraId="0499B62C" w14:textId="77777777" w:rsidR="002D26F6" w:rsidRDefault="002D26F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activeWritingStyle w:appName="MSWord" w:lang="en-AU" w:vendorID="64" w:dllVersion="0" w:nlCheck="1" w:checkStyle="0"/>
  <w:activeWritingStyle w:appName="MSWord" w:lang="en-US" w:vendorID="64" w:dllVersion="0" w:nlCheck="1" w:checkStyle="0"/>
  <w:proofState w:spelling="clean" w:grammar="clean"/>
  <w:doNotTrackMov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record-ids&gt;&lt;/item&gt;&lt;/Libraries&gt;"/>
  </w:docVars>
  <w:rsids>
    <w:rsidRoot w:val="0014064D"/>
    <w:rsid w:val="0000227E"/>
    <w:rsid w:val="00002DF1"/>
    <w:rsid w:val="00006C70"/>
    <w:rsid w:val="00025309"/>
    <w:rsid w:val="0004656E"/>
    <w:rsid w:val="0004675E"/>
    <w:rsid w:val="000702F7"/>
    <w:rsid w:val="000708E9"/>
    <w:rsid w:val="00077136"/>
    <w:rsid w:val="00081ED4"/>
    <w:rsid w:val="000A24CA"/>
    <w:rsid w:val="000A5341"/>
    <w:rsid w:val="000A5FD6"/>
    <w:rsid w:val="00101D01"/>
    <w:rsid w:val="0010500C"/>
    <w:rsid w:val="00111098"/>
    <w:rsid w:val="0011114A"/>
    <w:rsid w:val="00130C34"/>
    <w:rsid w:val="0014064D"/>
    <w:rsid w:val="00141EC7"/>
    <w:rsid w:val="001508F4"/>
    <w:rsid w:val="001932BB"/>
    <w:rsid w:val="001A458D"/>
    <w:rsid w:val="001C76B6"/>
    <w:rsid w:val="001D3AEF"/>
    <w:rsid w:val="001D5F94"/>
    <w:rsid w:val="001E3962"/>
    <w:rsid w:val="00200EA8"/>
    <w:rsid w:val="00201C51"/>
    <w:rsid w:val="00205CEC"/>
    <w:rsid w:val="00211CDF"/>
    <w:rsid w:val="0024322C"/>
    <w:rsid w:val="00250AAA"/>
    <w:rsid w:val="002633A9"/>
    <w:rsid w:val="00275BBB"/>
    <w:rsid w:val="002B1595"/>
    <w:rsid w:val="002D26F6"/>
    <w:rsid w:val="002E6E35"/>
    <w:rsid w:val="00313967"/>
    <w:rsid w:val="003475CB"/>
    <w:rsid w:val="00386D10"/>
    <w:rsid w:val="003976D4"/>
    <w:rsid w:val="003B726D"/>
    <w:rsid w:val="003E6B6A"/>
    <w:rsid w:val="003E6BA5"/>
    <w:rsid w:val="003F5B17"/>
    <w:rsid w:val="00406BA4"/>
    <w:rsid w:val="004200C1"/>
    <w:rsid w:val="004707EC"/>
    <w:rsid w:val="004A07DA"/>
    <w:rsid w:val="004C58E1"/>
    <w:rsid w:val="0057313C"/>
    <w:rsid w:val="00580A50"/>
    <w:rsid w:val="00585534"/>
    <w:rsid w:val="00591EE7"/>
    <w:rsid w:val="005A248A"/>
    <w:rsid w:val="005C179C"/>
    <w:rsid w:val="005E07EF"/>
    <w:rsid w:val="005F0145"/>
    <w:rsid w:val="00615B64"/>
    <w:rsid w:val="006465EE"/>
    <w:rsid w:val="00671EB8"/>
    <w:rsid w:val="006836A1"/>
    <w:rsid w:val="006978B2"/>
    <w:rsid w:val="006B7A29"/>
    <w:rsid w:val="006E17CC"/>
    <w:rsid w:val="00707395"/>
    <w:rsid w:val="007238FC"/>
    <w:rsid w:val="00760B56"/>
    <w:rsid w:val="00781A18"/>
    <w:rsid w:val="00783CA3"/>
    <w:rsid w:val="007B048D"/>
    <w:rsid w:val="007B63DA"/>
    <w:rsid w:val="007D1E71"/>
    <w:rsid w:val="00831BED"/>
    <w:rsid w:val="00836B82"/>
    <w:rsid w:val="00837C60"/>
    <w:rsid w:val="008928AF"/>
    <w:rsid w:val="00895D36"/>
    <w:rsid w:val="008A3669"/>
    <w:rsid w:val="008A56AF"/>
    <w:rsid w:val="008B2094"/>
    <w:rsid w:val="008B7610"/>
    <w:rsid w:val="008C1006"/>
    <w:rsid w:val="008C58D6"/>
    <w:rsid w:val="008D656A"/>
    <w:rsid w:val="008E1C44"/>
    <w:rsid w:val="008E2428"/>
    <w:rsid w:val="00904403"/>
    <w:rsid w:val="00905C25"/>
    <w:rsid w:val="00916FF1"/>
    <w:rsid w:val="00925DE6"/>
    <w:rsid w:val="00971C1E"/>
    <w:rsid w:val="009723F1"/>
    <w:rsid w:val="00982B35"/>
    <w:rsid w:val="00997612"/>
    <w:rsid w:val="009B7339"/>
    <w:rsid w:val="009C03BC"/>
    <w:rsid w:val="009C6B94"/>
    <w:rsid w:val="009C70C1"/>
    <w:rsid w:val="009E453D"/>
    <w:rsid w:val="009F4214"/>
    <w:rsid w:val="00A07926"/>
    <w:rsid w:val="00A41CB4"/>
    <w:rsid w:val="00A905F2"/>
    <w:rsid w:val="00AA6EE7"/>
    <w:rsid w:val="00AC7395"/>
    <w:rsid w:val="00AD39E5"/>
    <w:rsid w:val="00AE0090"/>
    <w:rsid w:val="00AE2502"/>
    <w:rsid w:val="00AE4C8A"/>
    <w:rsid w:val="00B05583"/>
    <w:rsid w:val="00B15680"/>
    <w:rsid w:val="00B16E3E"/>
    <w:rsid w:val="00B2575D"/>
    <w:rsid w:val="00B81293"/>
    <w:rsid w:val="00B9464A"/>
    <w:rsid w:val="00BA3A52"/>
    <w:rsid w:val="00C12F27"/>
    <w:rsid w:val="00C27C51"/>
    <w:rsid w:val="00C35442"/>
    <w:rsid w:val="00C35EF1"/>
    <w:rsid w:val="00C86CE6"/>
    <w:rsid w:val="00CA3B20"/>
    <w:rsid w:val="00CA6E4C"/>
    <w:rsid w:val="00CB4CC3"/>
    <w:rsid w:val="00CC1644"/>
    <w:rsid w:val="00CD16AA"/>
    <w:rsid w:val="00CE45E7"/>
    <w:rsid w:val="00CE6D85"/>
    <w:rsid w:val="00CF1226"/>
    <w:rsid w:val="00CF546D"/>
    <w:rsid w:val="00D30CA0"/>
    <w:rsid w:val="00D509E0"/>
    <w:rsid w:val="00D5526F"/>
    <w:rsid w:val="00D57DEA"/>
    <w:rsid w:val="00D767D6"/>
    <w:rsid w:val="00D815EE"/>
    <w:rsid w:val="00D91ED1"/>
    <w:rsid w:val="00D9479B"/>
    <w:rsid w:val="00DE00A8"/>
    <w:rsid w:val="00E029E4"/>
    <w:rsid w:val="00E15AF0"/>
    <w:rsid w:val="00E243CA"/>
    <w:rsid w:val="00E501A1"/>
    <w:rsid w:val="00E529B4"/>
    <w:rsid w:val="00E617A3"/>
    <w:rsid w:val="00E626CB"/>
    <w:rsid w:val="00E744EA"/>
    <w:rsid w:val="00E76A30"/>
    <w:rsid w:val="00EC0319"/>
    <w:rsid w:val="00EE6A1A"/>
    <w:rsid w:val="00F170E7"/>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 w:type="character" w:styleId="FollowedHyperlink">
    <w:name w:val="FollowedHyperlink"/>
    <w:basedOn w:val="DefaultParagraphFont"/>
    <w:uiPriority w:val="99"/>
    <w:semiHidden/>
    <w:unhideWhenUsed/>
    <w:rsid w:val="00781A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oi.org/10.1016/j.ssci.2020.104773"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geosus.2020.03.005"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01/jama.2020.2648"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S2214-109X(20)30074-7"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ijdrr.2012.05.00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38/s41591-020-088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ijid.2020.02.058" TargetMode="External"/><Relationship Id="rId35" Type="http://schemas.openxmlformats.org/officeDocument/2006/relationships/hyperlink" Target="https://doi.org/10.1101/2020.03.24.2004229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16</Pages>
  <Words>6545</Words>
  <Characters>37309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7</cp:revision>
  <dcterms:created xsi:type="dcterms:W3CDTF">2020-08-24T05:33:00Z</dcterms:created>
  <dcterms:modified xsi:type="dcterms:W3CDTF">2020-08-24T10:42:00Z</dcterms:modified>
</cp:coreProperties>
</file>