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2"/>
        </w:rPr>
      </w:pPr>
      <w:r>
        <w:rPr>
          <w:sz w:val="52"/>
        </w:rPr>
        <mc:AlternateContent>
          <mc:Choice Requires="wpg">
            <w:drawing>
              <wp:anchor behindDoc="0" distT="0" distB="0" distL="0" distR="0" simplePos="0" locked="0" layoutInCell="0" allowOverlap="1" relativeHeight="3" wp14:anchorId="37DCEEDE">
                <wp:simplePos x="0" y="0"/>
                <wp:positionH relativeFrom="margin">
                  <wp:align>center</wp:align>
                </wp:positionH>
                <wp:positionV relativeFrom="paragraph">
                  <wp:posOffset>242570</wp:posOffset>
                </wp:positionV>
                <wp:extent cx="2051050" cy="1971675"/>
                <wp:effectExtent l="0" t="19050" r="94615" b="20955"/>
                <wp:wrapNone/>
                <wp:docPr id="1" name="Group 19"/>
                <a:graphic xmlns:a="http://schemas.openxmlformats.org/drawingml/2006/main">
                  <a:graphicData uri="http://schemas.microsoft.com/office/word/2010/wordprocessingGroup">
                    <wpg:wgp>
                      <wpg:cNvGrpSpPr/>
                      <wpg:grpSpPr>
                        <a:xfrm>
                          <a:off x="0" y="0"/>
                          <a:ext cx="2050560" cy="1971000"/>
                          <a:chOff x="1946160" y="242640"/>
                          <a:chExt cx="2050560" cy="1971000"/>
                        </a:xfrm>
                      </wpg:grpSpPr>
                      <wps:wsp>
                        <wps:cNvSpPr/>
                        <wps:spPr>
                          <a:xfrm>
                            <a:off x="874440" y="1016640"/>
                            <a:ext cx="990000" cy="656640"/>
                          </a:xfrm>
                          <a:prstGeom prst="roundRect">
                            <a:avLst>
                              <a:gd name="adj" fmla="val 16667"/>
                            </a:avLst>
                          </a:prstGeom>
                          <a:solidFill>
                            <a:srgbClr val="000000"/>
                          </a:solidFill>
                          <a:ln>
                            <a:solidFill>
                              <a:srgbClr val="000000"/>
                            </a:solidFill>
                          </a:ln>
                        </wps:spPr>
                        <wps:style>
                          <a:lnRef idx="2">
                            <a:schemeClr val="dk1">
                              <a:shade val="50000"/>
                            </a:schemeClr>
                          </a:lnRef>
                          <a:fillRef idx="1">
                            <a:schemeClr val="dk1"/>
                          </a:fillRef>
                          <a:effectRef idx="0">
                            <a:schemeClr val="dk1"/>
                          </a:effectRef>
                          <a:fontRef idx="minor"/>
                        </wps:style>
                        <wps:bodyPr/>
                      </wps:wsp>
                      <wps:wsp>
                        <wps:cNvSpPr/>
                        <wps:spPr>
                          <a:xfrm rot="11908200">
                            <a:off x="781200" y="28080"/>
                            <a:ext cx="185400" cy="913680"/>
                          </a:xfrm>
                          <a:prstGeom prst="moon">
                            <a:avLst>
                              <a:gd name="adj" fmla="val 50000"/>
                            </a:avLst>
                          </a:prstGeom>
                          <a:solidFill>
                            <a:srgbClr val="000000"/>
                          </a:solidFill>
                          <a:ln>
                            <a:solidFill>
                              <a:srgbClr val="000000"/>
                            </a:solidFill>
                          </a:ln>
                        </wps:spPr>
                        <wps:style>
                          <a:lnRef idx="2">
                            <a:schemeClr val="dk1">
                              <a:shade val="50000"/>
                            </a:schemeClr>
                          </a:lnRef>
                          <a:fillRef idx="1">
                            <a:schemeClr val="dk1"/>
                          </a:fillRef>
                          <a:effectRef idx="0">
                            <a:schemeClr val="dk1"/>
                          </a:effectRef>
                          <a:fontRef idx="minor"/>
                        </wps:style>
                        <wps:bodyPr/>
                      </wps:wsp>
                      <wps:wsp>
                        <wps:cNvSpPr/>
                        <wps:spPr>
                          <a:xfrm rot="20339400">
                            <a:off x="301320" y="2520"/>
                            <a:ext cx="185400" cy="913680"/>
                          </a:xfrm>
                          <a:prstGeom prst="moon">
                            <a:avLst>
                              <a:gd name="adj" fmla="val 50000"/>
                            </a:avLst>
                          </a:prstGeom>
                          <a:solidFill>
                            <a:srgbClr val="000000"/>
                          </a:solidFill>
                          <a:ln>
                            <a:solidFill>
                              <a:srgbClr val="000000"/>
                            </a:solidFill>
                          </a:ln>
                        </wps:spPr>
                        <wps:style>
                          <a:lnRef idx="2">
                            <a:schemeClr val="dk1">
                              <a:shade val="50000"/>
                            </a:schemeClr>
                          </a:lnRef>
                          <a:fillRef idx="1">
                            <a:schemeClr val="dk1"/>
                          </a:fillRef>
                          <a:effectRef idx="0">
                            <a:schemeClr val="dk1"/>
                          </a:effectRef>
                          <a:fontRef idx="minor"/>
                        </wps:style>
                        <wps:bodyPr/>
                      </wps:wsp>
                      <wps:wsp>
                        <wps:cNvSpPr/>
                        <wps:spPr>
                          <a:xfrm>
                            <a:off x="324000" y="481320"/>
                            <a:ext cx="644400" cy="656640"/>
                          </a:xfrm>
                          <a:prstGeom prst="roundRect">
                            <a:avLst>
                              <a:gd name="adj" fmla="val 16667"/>
                            </a:avLst>
                          </a:prstGeom>
                          <a:solidFill>
                            <a:srgbClr val="000000"/>
                          </a:solidFill>
                          <a:ln>
                            <a:solidFill>
                              <a:srgbClr val="000000"/>
                            </a:solidFill>
                          </a:ln>
                        </wps:spPr>
                        <wps:style>
                          <a:lnRef idx="2">
                            <a:schemeClr val="dk1">
                              <a:shade val="50000"/>
                            </a:schemeClr>
                          </a:lnRef>
                          <a:fillRef idx="1">
                            <a:schemeClr val="dk1"/>
                          </a:fillRef>
                          <a:effectRef idx="0">
                            <a:schemeClr val="dk1"/>
                          </a:effectRef>
                          <a:fontRef idx="minor"/>
                        </wps:style>
                        <wps:bodyPr/>
                      </wps:wsp>
                      <wps:wsp>
                        <wps:cNvSpPr/>
                        <wps:spPr>
                          <a:xfrm>
                            <a:off x="457920" y="609480"/>
                            <a:ext cx="119880" cy="1213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697320" y="609480"/>
                            <a:ext cx="119880" cy="1213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534600" y="954360"/>
                            <a:ext cx="45000" cy="763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674280" y="954360"/>
                            <a:ext cx="45000" cy="763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rot="18960600">
                            <a:off x="189000" y="868320"/>
                            <a:ext cx="913680" cy="913680"/>
                          </a:xfrm>
                          <a:prstGeom prst="arc">
                            <a:avLst>
                              <a:gd name="adj1" fmla="val 16200000"/>
                              <a:gd name="adj2" fmla="val 0"/>
                            </a:avLst>
                          </a:prstGeom>
                          <a:noFill/>
                          <a:ln>
                            <a:solidFill>
                              <a:srgbClr val="ffffff"/>
                            </a:solidFill>
                          </a:ln>
                        </wps:spPr>
                        <wps:style>
                          <a:lnRef idx="1">
                            <a:schemeClr val="accent1"/>
                          </a:lnRef>
                          <a:fillRef idx="0">
                            <a:schemeClr val="accent1"/>
                          </a:fillRef>
                          <a:effectRef idx="0">
                            <a:schemeClr val="accent1"/>
                          </a:effectRef>
                          <a:fontRef idx="minor"/>
                        </wps:style>
                        <wps:bodyPr/>
                      </wps:wsp>
                      <wps:wsp>
                        <wps:cNvSpPr/>
                        <wps:spPr>
                          <a:xfrm>
                            <a:off x="921240" y="1645200"/>
                            <a:ext cx="94680" cy="227880"/>
                          </a:xfrm>
                          <a:prstGeom prst="roundRect">
                            <a:avLst>
                              <a:gd name="adj" fmla="val 16667"/>
                            </a:avLst>
                          </a:prstGeom>
                          <a:solidFill>
                            <a:srgbClr val="000000"/>
                          </a:solidFill>
                          <a:ln>
                            <a:solidFill>
                              <a:srgbClr val="000000"/>
                            </a:solidFill>
                          </a:ln>
                        </wps:spPr>
                        <wps:style>
                          <a:lnRef idx="2">
                            <a:schemeClr val="dk1">
                              <a:shade val="50000"/>
                            </a:schemeClr>
                          </a:lnRef>
                          <a:fillRef idx="1">
                            <a:schemeClr val="dk1"/>
                          </a:fillRef>
                          <a:effectRef idx="0">
                            <a:schemeClr val="dk1"/>
                          </a:effectRef>
                          <a:fontRef idx="minor"/>
                        </wps:style>
                        <wps:bodyPr/>
                      </wps:wsp>
                      <wps:wsp>
                        <wps:cNvSpPr/>
                        <wps:spPr>
                          <a:xfrm>
                            <a:off x="1702440" y="1658520"/>
                            <a:ext cx="94680" cy="227880"/>
                          </a:xfrm>
                          <a:prstGeom prst="roundRect">
                            <a:avLst>
                              <a:gd name="adj" fmla="val 16667"/>
                            </a:avLst>
                          </a:prstGeom>
                          <a:solidFill>
                            <a:srgbClr val="000000"/>
                          </a:solidFill>
                          <a:ln>
                            <a:solidFill>
                              <a:srgbClr val="000000"/>
                            </a:solidFill>
                          </a:ln>
                        </wps:spPr>
                        <wps:style>
                          <a:lnRef idx="2">
                            <a:schemeClr val="dk1">
                              <a:shade val="50000"/>
                            </a:schemeClr>
                          </a:lnRef>
                          <a:fillRef idx="1">
                            <a:schemeClr val="dk1"/>
                          </a:fillRef>
                          <a:effectRef idx="0">
                            <a:schemeClr val="dk1"/>
                          </a:effectRef>
                          <a:fontRef idx="minor"/>
                        </wps:style>
                        <wps:bodyPr/>
                      </wps:wsp>
                      <wps:wsp>
                        <wps:cNvSpPr/>
                        <wps:spPr>
                          <a:xfrm rot="4144800">
                            <a:off x="1656000" y="1274040"/>
                            <a:ext cx="515160" cy="95400"/>
                          </a:xfrm>
                          <a:prstGeom prst="rightArrow">
                            <a:avLst>
                              <a:gd name="adj1" fmla="val 50000"/>
                              <a:gd name="adj2" fmla="val 50000"/>
                            </a:avLst>
                          </a:prstGeom>
                          <a:solidFill>
                            <a:srgbClr val="000000"/>
                          </a:solidFill>
                          <a:ln>
                            <a:solidFill>
                              <a:srgbClr val="000000"/>
                            </a:solidFill>
                          </a:ln>
                        </wps:spPr>
                        <wps:style>
                          <a:lnRef idx="2">
                            <a:schemeClr val="dk1">
                              <a:shade val="50000"/>
                            </a:schemeClr>
                          </a:lnRef>
                          <a:fillRef idx="1">
                            <a:schemeClr val="dk1"/>
                          </a:fillRef>
                          <a:effectRef idx="0">
                            <a:schemeClr val="dk1"/>
                          </a:effectRef>
                          <a:fontRef idx="minor"/>
                        </wps:style>
                        <wps:bodyPr/>
                      </wps:wsp>
                    </wpg:wgp>
                  </a:graphicData>
                </a:graphic>
              </wp:anchor>
            </w:drawing>
          </mc:Choice>
          <mc:Fallback>
            <w:pict>
              <v:group id="shape_0" alt="Group 19" style="position:absolute;margin-left:168.15pt;margin-top:19.35pt;width:156.05pt;height:148.3pt" coordorigin="3363,387" coordsize="3121,2966">
                <v:rect id="shape_0" ID="Moon 3" path="l-2147483583,-2147483626l-2147483582,-2147483581xe" fillcolor="black" stroked="t" o:allowincell="f" style="position:absolute;left:4295;top:426;width:291;height:1438;mso-wrap-style:none;v-text-anchor:middle;rotation:198;mso-position-horizontal:center;mso-position-horizontal-relative:margin">
                  <v:fill o:detectmouseclick="t" type="solid" color2="white"/>
                  <v:stroke color="black" weight="12600" joinstyle="miter" endcap="flat"/>
                  <w10:wrap type="none"/>
                </v:rect>
                <v:rect id="shape_0" ID="Moon 4" path="l-2147483583,-2147483626l-2147483582,-2147483581xe" fillcolor="black" stroked="t" o:allowincell="f" style="position:absolute;left:3540;top:386;width:291;height:1438;mso-wrap-style:none;v-text-anchor:middle;rotation:339;mso-position-horizontal:center;mso-position-horizontal-relative:margin">
                  <v:fill o:detectmouseclick="t" type="solid" color2="white"/>
                  <v:stroke color="black" weight="12600" joinstyle="miter" endcap="flat"/>
                  <w10:wrap type="none"/>
                </v:rect>
                <v:oval id="shape_0" ID="Oval 6" path="l-2147483648,-2147483643l-2147483628,-2147483627l-2147483648,-2147483643l-2147483626,-2147483625xe" fillcolor="white" stroked="f" o:allowincell="f" style="position:absolute;left:3786;top:1342;width:188;height:190;mso-wrap-style:none;v-text-anchor:middle;mso-position-horizontal:center;mso-position-horizontal-relative:margin">
                  <v:fill o:detectmouseclick="t" type="solid" color2="black"/>
                  <v:stroke color="#3465a4" weight="12600" joinstyle="miter" endcap="flat"/>
                  <w10:wrap type="none"/>
                </v:oval>
                <v:oval id="shape_0" ID="Oval 7" path="l-2147483648,-2147483643l-2147483628,-2147483627l-2147483648,-2147483643l-2147483626,-2147483625xe" fillcolor="white" stroked="f" o:allowincell="f" style="position:absolute;left:4163;top:1342;width:188;height:190;mso-wrap-style:none;v-text-anchor:middle;mso-position-horizontal:center;mso-position-horizontal-relative:margin">
                  <v:fill o:detectmouseclick="t" type="solid" color2="black"/>
                  <v:stroke color="#3465a4" weight="12600" joinstyle="miter" endcap="flat"/>
                  <w10:wrap type="none"/>
                </v:oval>
                <v:oval id="shape_0" ID="Oval 8" path="l-2147483648,-2147483643l-2147483628,-2147483627l-2147483648,-2147483643l-2147483626,-2147483625xe" fillcolor="white" stroked="f" o:allowincell="f" style="position:absolute;left:3907;top:1885;width:70;height:119;mso-wrap-style:none;v-text-anchor:middle;mso-position-horizontal:center;mso-position-horizontal-relative:margin">
                  <v:fill o:detectmouseclick="t" type="solid" color2="black"/>
                  <v:stroke color="#3465a4" weight="12600" joinstyle="miter" endcap="flat"/>
                  <w10:wrap type="none"/>
                </v:oval>
                <v:oval id="shape_0" ID="Oval 9" path="l-2147483648,-2147483643l-2147483628,-2147483627l-2147483648,-2147483643l-2147483626,-2147483625xe" fillcolor="white" stroked="f" o:allowincell="f" style="position:absolute;left:4127;top:1885;width:70;height:119;mso-wrap-style:none;v-text-anchor:middle;mso-position-horizontal:center;mso-position-horizontal-relative:margin">
                  <v:fill o:detectmouseclick="t" type="solid" color2="black"/>
                  <v:stroke color="#3465a4" weight="12600" joinstyle="miter" endcap="flat"/>
                  <w10:wrap type="none"/>
                </v:oval>
                <v:arc id="shape_0" ID="Arc 10" path="l-2147483636,-2147483631l-2147483573,-2147483572xel-2147483608,-2147483605e" stroked="t" o:allowincell="f" style="position:absolute;left:3362;top:1749;width:1438;height:1438;mso-wrap-style:none;v-text-anchor:middle;rotation:316;mso-position-horizontal:center;mso-position-horizontal-relative:margin">
                  <v:fill o:detectmouseclick="t" on="false"/>
                  <v:stroke color="white" weight="6480" joinstyle="miter" endcap="flat"/>
                  <w10:wrap type="none"/>
                </v:arc>
                <v:shapetype id="_x0000_t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Right Arrow 13" path="l-2147483635,-2147483631l-2147483635,0l-2147483622,-2147483632l-2147483635,-2147483623l-2147483635,-2147483629l0,-2147483629xe" fillcolor="black" stroked="t" o:allowincell="f" style="position:absolute;left:5674;top:2388;width:810;height:149;mso-wrap-style:none;v-text-anchor:middle;rotation:69;mso-position-horizontal:center;mso-position-horizontal-relative:margin" type="_x0000_t13">
                  <v:fill o:detectmouseclick="t" type="solid" color2="white"/>
                  <v:stroke color="black" weight="12600" joinstyle="miter" endcap="flat"/>
                  <w10:wrap type="none"/>
                </v:shape>
              </v:group>
            </w:pict>
          </mc:Fallback>
        </mc:AlternateContent>
      </w:r>
    </w:p>
    <w:p>
      <w:pPr>
        <w:pStyle w:val="Normal"/>
        <w:jc w:val="center"/>
        <w:rPr>
          <w:sz w:val="52"/>
        </w:rPr>
      </w:pPr>
      <w:r>
        <w:rPr>
          <w:sz w:val="52"/>
        </w:rPr>
      </w:r>
    </w:p>
    <w:p>
      <w:pPr>
        <w:pStyle w:val="Normal"/>
        <w:jc w:val="center"/>
        <w:rPr>
          <w:sz w:val="52"/>
        </w:rPr>
      </w:pPr>
      <w:r>
        <w:rPr>
          <w:sz w:val="52"/>
        </w:rPr>
      </w:r>
    </w:p>
    <w:p>
      <w:pPr>
        <w:pStyle w:val="Normal"/>
        <w:jc w:val="center"/>
        <w:rPr>
          <w:sz w:val="52"/>
        </w:rPr>
      </w:pPr>
      <w:r>
        <w:rPr>
          <w:sz w:val="52"/>
        </w:rPr>
      </w:r>
    </w:p>
    <w:p>
      <w:pPr>
        <w:pStyle w:val="Normal"/>
        <w:jc w:val="center"/>
        <w:rPr>
          <w:sz w:val="52"/>
        </w:rPr>
      </w:pPr>
      <w:r>
        <w:rPr>
          <w:sz w:val="52"/>
        </w:rPr>
      </w:r>
    </w:p>
    <w:p>
      <w:pPr>
        <w:pStyle w:val="Normal"/>
        <w:jc w:val="center"/>
        <w:rPr>
          <w:sz w:val="52"/>
        </w:rPr>
      </w:pPr>
      <w:r>
        <w:rPr>
          <w:sz w:val="52"/>
        </w:rPr>
      </w:r>
      <w:bookmarkStart w:id="0" w:name="_GoBack"/>
      <w:bookmarkStart w:id="1" w:name="_GoBack"/>
      <w:bookmarkEnd w:id="1"/>
    </w:p>
    <w:p>
      <w:pPr>
        <w:pStyle w:val="Normal"/>
        <w:rPr>
          <w:sz w:val="52"/>
        </w:rPr>
      </w:pPr>
      <w:r>
        <w:rPr>
          <w:sz w:val="52"/>
        </w:rPr>
      </w:r>
    </w:p>
    <w:p>
      <w:pPr>
        <w:pStyle w:val="Normal"/>
        <w:jc w:val="center"/>
        <w:rPr>
          <w:sz w:val="52"/>
        </w:rPr>
      </w:pPr>
      <w:r>
        <w:rPr>
          <w:sz w:val="52"/>
        </w:rPr>
        <w:t>Yet Another Collection Kit (YACK)</w:t>
      </w:r>
    </w:p>
    <w:p>
      <w:pPr>
        <w:pStyle w:val="Normal"/>
        <w:jc w:val="center"/>
        <w:rPr>
          <w:sz w:val="28"/>
        </w:rPr>
      </w:pPr>
      <w:r>
        <w:rPr>
          <w:sz w:val="28"/>
        </w:rPr>
        <w:t>User Guide</w:t>
      </w:r>
    </w:p>
    <w:p>
      <w:pPr>
        <w:pStyle w:val="Normal"/>
        <w:jc w:val="center"/>
        <w:rPr/>
      </w:pPr>
      <w:r>
        <w:rPr/>
        <w:t>V0.1</w:t>
      </w:r>
    </w:p>
    <w:p>
      <w:pPr>
        <w:pStyle w:val="Normal"/>
        <w:jc w:val="center"/>
        <w:rPr/>
      </w:pPr>
      <w:r>
        <w:rPr/>
        <w:t>8 OCT 2018</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Connor</w:t>
      </w:r>
      <w:r>
        <w:rPr/>
        <w:t xml:space="preserve"> Martin</w:t>
      </w:r>
    </w:p>
    <w:p>
      <w:pPr>
        <w:pStyle w:val="Normal"/>
        <w:jc w:val="center"/>
        <w:rPr/>
      </w:pPr>
      <w:r>
        <w:rPr/>
      </w:r>
    </w:p>
    <w:sdt>
      <w:sdtPr>
        <w:docPartObj>
          <w:docPartGallery w:val="Table of Contents"/>
          <w:docPartUnique w:val="true"/>
        </w:docPartObj>
      </w:sdtPr>
      <w:sdtContent>
        <w:p>
          <w:pPr>
            <w:pStyle w:val="ContentsHeading"/>
            <w:rPr/>
          </w:pPr>
          <w:r>
            <w:rPr/>
            <w:t>Contents</w:t>
          </w:r>
        </w:p>
        <w:p>
          <w:pPr>
            <w:pStyle w:val="Contents1"/>
            <w:tabs>
              <w:tab w:val="clear" w:pos="720"/>
              <w:tab w:val="right" w:pos="9350" w:leader="dot"/>
            </w:tabs>
            <w:rPr>
              <w:rFonts w:eastAsia="" w:eastAsiaTheme="minorEastAsia"/>
            </w:rPr>
          </w:pPr>
          <w:r>
            <w:fldChar w:fldCharType="begin"/>
          </w:r>
          <w:r>
            <w:rPr>
              <w:webHidden/>
              <w:rStyle w:val="IndexLink"/>
            </w:rPr>
            <w:instrText> TOC \z \o "1-3" \u \h</w:instrText>
          </w:r>
          <w:r>
            <w:rPr>
              <w:webHidden/>
              <w:rStyle w:val="IndexLink"/>
            </w:rPr>
            <w:fldChar w:fldCharType="separate"/>
          </w:r>
          <w:hyperlink w:anchor="_Toc526796728">
            <w:r>
              <w:rPr>
                <w:webHidden/>
                <w:rStyle w:val="IndexLink"/>
              </w:rPr>
              <w:t>BLUF</w:t>
            </w:r>
            <w:r>
              <w:rPr>
                <w:webHidden/>
              </w:rPr>
              <w:fldChar w:fldCharType="begin"/>
            </w:r>
            <w:r>
              <w:rPr>
                <w:webHidden/>
              </w:rPr>
              <w:instrText>PAGEREF _Toc526796728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rFonts w:eastAsia="" w:eastAsiaTheme="minorEastAsia"/>
            </w:rPr>
          </w:pPr>
          <w:hyperlink w:anchor="_Toc526796729">
            <w:r>
              <w:rPr>
                <w:webHidden/>
                <w:rStyle w:val="IndexLink"/>
              </w:rPr>
              <w:t>Overview</w:t>
            </w:r>
            <w:r>
              <w:rPr>
                <w:webHidden/>
              </w:rPr>
              <w:fldChar w:fldCharType="begin"/>
            </w:r>
            <w:r>
              <w:rPr>
                <w:webHidden/>
              </w:rPr>
              <w:instrText>PAGEREF _Toc526796729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eastAsia="" w:eastAsiaTheme="minorEastAsia"/>
            </w:rPr>
          </w:pPr>
          <w:hyperlink w:anchor="_Toc526796730">
            <w:r>
              <w:rPr>
                <w:webHidden/>
                <w:rStyle w:val="IndexLink"/>
              </w:rPr>
              <w:t>Controlling Script</w:t>
            </w:r>
            <w:r>
              <w:rPr>
                <w:webHidden/>
              </w:rPr>
              <w:fldChar w:fldCharType="begin"/>
            </w:r>
            <w:r>
              <w:rPr>
                <w:webHidden/>
              </w:rPr>
              <w:instrText>PAGEREF _Toc526796730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eastAsia="" w:eastAsiaTheme="minorEastAsia"/>
            </w:rPr>
          </w:pPr>
          <w:hyperlink w:anchor="_Toc526796731">
            <w:r>
              <w:rPr>
                <w:webHidden/>
                <w:rStyle w:val="IndexLink"/>
              </w:rPr>
              <w:t>Collectors</w:t>
            </w:r>
            <w:r>
              <w:rPr>
                <w:webHidden/>
              </w:rPr>
              <w:fldChar w:fldCharType="begin"/>
            </w:r>
            <w:r>
              <w:rPr>
                <w:webHidden/>
              </w:rPr>
              <w:instrText>PAGEREF _Toc526796731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50" w:leader="dot"/>
            </w:tabs>
            <w:rPr>
              <w:rFonts w:eastAsia="" w:eastAsiaTheme="minorEastAsia"/>
            </w:rPr>
          </w:pPr>
          <w:hyperlink w:anchor="_Toc526796732">
            <w:r>
              <w:rPr>
                <w:webHidden/>
                <w:rStyle w:val="IndexLink"/>
              </w:rPr>
              <w:t>Parsers</w:t>
            </w:r>
            <w:r>
              <w:rPr>
                <w:webHidden/>
              </w:rPr>
              <w:fldChar w:fldCharType="begin"/>
            </w:r>
            <w:r>
              <w:rPr>
                <w:webHidden/>
              </w:rPr>
              <w:instrText>PAGEREF _Toc526796732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50" w:leader="dot"/>
            </w:tabs>
            <w:rPr>
              <w:rFonts w:eastAsia="" w:eastAsiaTheme="minorEastAsia"/>
            </w:rPr>
          </w:pPr>
          <w:hyperlink w:anchor="_Toc526796733">
            <w:r>
              <w:rPr>
                <w:webHidden/>
                <w:rStyle w:val="IndexLink"/>
              </w:rPr>
              <w:t>Project Structure</w:t>
            </w:r>
            <w:r>
              <w:rPr>
                <w:webHidden/>
              </w:rPr>
              <w:fldChar w:fldCharType="begin"/>
            </w:r>
            <w:r>
              <w:rPr>
                <w:webHidden/>
              </w:rPr>
              <w:instrText>PAGEREF _Toc526796733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350" w:leader="dot"/>
            </w:tabs>
            <w:rPr>
              <w:rFonts w:eastAsia="" w:eastAsiaTheme="minorEastAsia"/>
            </w:rPr>
          </w:pPr>
          <w:hyperlink w:anchor="_Toc526796734">
            <w:r>
              <w:rPr>
                <w:webHidden/>
                <w:rStyle w:val="IndexLink"/>
              </w:rPr>
              <w:t>Using YACK</w:t>
            </w:r>
            <w:r>
              <w:rPr>
                <w:webHidden/>
              </w:rPr>
              <w:fldChar w:fldCharType="begin"/>
            </w:r>
            <w:r>
              <w:rPr>
                <w:webHidden/>
              </w:rPr>
              <w:instrText>PAGEREF _Toc526796734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350" w:leader="dot"/>
            </w:tabs>
            <w:rPr>
              <w:rFonts w:eastAsia="" w:eastAsiaTheme="minorEastAsia"/>
            </w:rPr>
          </w:pPr>
          <w:hyperlink w:anchor="_Toc526796735">
            <w:r>
              <w:rPr>
                <w:webHidden/>
                <w:rStyle w:val="IndexLink"/>
              </w:rPr>
              <w:t>Collect Running Processes on the Local Machine</w:t>
            </w:r>
            <w:r>
              <w:rPr>
                <w:webHidden/>
              </w:rPr>
              <w:fldChar w:fldCharType="begin"/>
            </w:r>
            <w:r>
              <w:rPr>
                <w:webHidden/>
              </w:rPr>
              <w:instrText>PAGEREF _Toc526796735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350" w:leader="dot"/>
            </w:tabs>
            <w:rPr>
              <w:rFonts w:eastAsia="" w:eastAsiaTheme="minorEastAsia"/>
            </w:rPr>
          </w:pPr>
          <w:hyperlink w:anchor="_Toc526796736">
            <w:r>
              <w:rPr>
                <w:webHidden/>
                <w:rStyle w:val="IndexLink"/>
              </w:rPr>
              <w:t>Run Collection on Multiple Remote Machine</w:t>
            </w:r>
            <w:r>
              <w:rPr>
                <w:webHidden/>
              </w:rPr>
              <w:fldChar w:fldCharType="begin"/>
            </w:r>
            <w:r>
              <w:rPr>
                <w:webHidden/>
              </w:rPr>
              <w:instrText>PAGEREF _Toc526796736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350" w:leader="dot"/>
            </w:tabs>
            <w:rPr>
              <w:rFonts w:eastAsia="" w:eastAsiaTheme="minorEastAsia"/>
            </w:rPr>
          </w:pPr>
          <w:hyperlink w:anchor="_Toc526796737">
            <w:r>
              <w:rPr>
                <w:webHidden/>
                <w:rStyle w:val="IndexLink"/>
              </w:rPr>
              <w:t>Enable WinRM</w:t>
            </w:r>
            <w:r>
              <w:rPr>
                <w:webHidden/>
              </w:rPr>
              <w:fldChar w:fldCharType="begin"/>
            </w:r>
            <w:r>
              <w:rPr>
                <w:webHidden/>
              </w:rPr>
              <w:instrText>PAGEREF _Toc526796737 \h</w:instrText>
            </w:r>
            <w:r>
              <w:rPr>
                <w:webHidden/>
              </w:rPr>
              <w:fldChar w:fldCharType="separate"/>
            </w:r>
            <w:r>
              <w:rPr>
                <w:rStyle w:val="IndexLink"/>
                <w:vanish w:val="false"/>
              </w:rPr>
              <w:tab/>
              <w:t>6</w:t>
            </w:r>
            <w:r>
              <w:rPr>
                <w:webHidden/>
              </w:rPr>
              <w:fldChar w:fldCharType="end"/>
            </w:r>
          </w:hyperlink>
        </w:p>
        <w:p>
          <w:pPr>
            <w:pStyle w:val="Contents3"/>
            <w:tabs>
              <w:tab w:val="clear" w:pos="720"/>
              <w:tab w:val="right" w:pos="9350" w:leader="dot"/>
            </w:tabs>
            <w:rPr>
              <w:rFonts w:eastAsia="" w:eastAsiaTheme="minorEastAsia"/>
            </w:rPr>
          </w:pPr>
          <w:hyperlink w:anchor="_Toc526796738">
            <w:r>
              <w:rPr>
                <w:webHidden/>
                <w:rStyle w:val="IndexLink"/>
              </w:rPr>
              <w:t>Manually</w:t>
            </w:r>
            <w:r>
              <w:rPr>
                <w:webHidden/>
              </w:rPr>
              <w:fldChar w:fldCharType="begin"/>
            </w:r>
            <w:r>
              <w:rPr>
                <w:webHidden/>
              </w:rPr>
              <w:instrText>PAGEREF _Toc526796738 \h</w:instrText>
            </w:r>
            <w:r>
              <w:rPr>
                <w:webHidden/>
              </w:rPr>
              <w:fldChar w:fldCharType="separate"/>
            </w:r>
            <w:r>
              <w:rPr>
                <w:rStyle w:val="IndexLink"/>
                <w:vanish w:val="false"/>
              </w:rPr>
              <w:tab/>
              <w:t>6</w:t>
            </w:r>
            <w:r>
              <w:rPr>
                <w:webHidden/>
              </w:rPr>
              <w:fldChar w:fldCharType="end"/>
            </w:r>
          </w:hyperlink>
        </w:p>
        <w:p>
          <w:pPr>
            <w:pStyle w:val="Contents3"/>
            <w:tabs>
              <w:tab w:val="clear" w:pos="720"/>
              <w:tab w:val="right" w:pos="9350" w:leader="dot"/>
            </w:tabs>
            <w:rPr>
              <w:rFonts w:eastAsia="" w:eastAsiaTheme="minorEastAsia"/>
            </w:rPr>
          </w:pPr>
          <w:hyperlink w:anchor="_Toc526796739">
            <w:r>
              <w:rPr>
                <w:webHidden/>
                <w:rStyle w:val="IndexLink"/>
              </w:rPr>
              <w:t>Group Policy</w:t>
            </w:r>
            <w:r>
              <w:rPr>
                <w:webHidden/>
              </w:rPr>
              <w:fldChar w:fldCharType="begin"/>
            </w:r>
            <w:r>
              <w:rPr>
                <w:webHidden/>
              </w:rPr>
              <w:instrText>PAGEREF _Toc526796739 \h</w:instrText>
            </w:r>
            <w:r>
              <w:rPr>
                <w:webHidden/>
              </w:rPr>
              <w:fldChar w:fldCharType="separate"/>
            </w:r>
            <w:r>
              <w:rPr>
                <w:rStyle w:val="IndexLink"/>
                <w:vanish w:val="false"/>
              </w:rPr>
              <w:tab/>
              <w:t>6</w:t>
            </w:r>
            <w:r>
              <w:rPr>
                <w:webHidden/>
              </w:rPr>
              <w:fldChar w:fldCharType="end"/>
            </w:r>
          </w:hyperlink>
        </w:p>
        <w:p>
          <w:pPr>
            <w:pStyle w:val="Contents3"/>
            <w:tabs>
              <w:tab w:val="clear" w:pos="720"/>
              <w:tab w:val="right" w:pos="9350" w:leader="dot"/>
            </w:tabs>
            <w:rPr>
              <w:rFonts w:eastAsia="" w:eastAsiaTheme="minorEastAsia"/>
            </w:rPr>
          </w:pPr>
          <w:hyperlink w:anchor="_Toc526796740">
            <w:r>
              <w:rPr>
                <w:webHidden/>
                <w:rStyle w:val="IndexLink"/>
              </w:rPr>
              <w:t>Enable Over SMB</w:t>
            </w:r>
            <w:r>
              <w:rPr>
                <w:webHidden/>
              </w:rPr>
              <w:fldChar w:fldCharType="begin"/>
            </w:r>
            <w:r>
              <w:rPr>
                <w:webHidden/>
              </w:rPr>
              <w:instrText>PAGEREF _Toc526796740 \h</w:instrText>
            </w:r>
            <w:r>
              <w:rPr>
                <w:webHidden/>
              </w:rPr>
              <w:fldChar w:fldCharType="separate"/>
            </w:r>
            <w:r>
              <w:rPr>
                <w:rStyle w:val="IndexLink"/>
                <w:vanish w:val="false"/>
              </w:rPr>
              <w:tab/>
              <w:t>6</w:t>
            </w:r>
            <w:r>
              <w:rPr>
                <w:webHidden/>
              </w:rPr>
              <w:fldChar w:fldCharType="end"/>
            </w:r>
          </w:hyperlink>
        </w:p>
        <w:p>
          <w:pPr>
            <w:pStyle w:val="Contents3"/>
            <w:tabs>
              <w:tab w:val="clear" w:pos="720"/>
              <w:tab w:val="right" w:pos="9350" w:leader="dot"/>
            </w:tabs>
            <w:rPr>
              <w:rFonts w:eastAsia="" w:eastAsiaTheme="minorEastAsia"/>
            </w:rPr>
          </w:pPr>
          <w:hyperlink w:anchor="_Toc526796741">
            <w:r>
              <w:rPr>
                <w:webHidden/>
                <w:rStyle w:val="IndexLink"/>
              </w:rPr>
              <w:t>Enable Over WMI</w:t>
            </w:r>
            <w:r>
              <w:rPr>
                <w:webHidden/>
              </w:rPr>
              <w:fldChar w:fldCharType="begin"/>
            </w:r>
            <w:r>
              <w:rPr>
                <w:webHidden/>
              </w:rPr>
              <w:instrText>PAGEREF _Toc526796741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350" w:leader="dot"/>
            </w:tabs>
            <w:rPr>
              <w:rFonts w:eastAsia="" w:eastAsiaTheme="minorEastAsia"/>
            </w:rPr>
          </w:pPr>
          <w:hyperlink w:anchor="_Toc526796742">
            <w:r>
              <w:rPr>
                <w:webHidden/>
                <w:rStyle w:val="IndexLink"/>
              </w:rPr>
              <w:t>Run Parser on Collected Result</w:t>
            </w:r>
            <w:r>
              <w:rPr>
                <w:webHidden/>
              </w:rPr>
              <w:fldChar w:fldCharType="begin"/>
            </w:r>
            <w:r>
              <w:rPr>
                <w:webHidden/>
              </w:rPr>
              <w:instrText>PAGEREF _Toc526796742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9350" w:leader="dot"/>
            </w:tabs>
            <w:rPr>
              <w:rFonts w:eastAsia="" w:eastAsiaTheme="minorEastAsia"/>
            </w:rPr>
          </w:pPr>
          <w:hyperlink w:anchor="_Toc526796743">
            <w:r>
              <w:rPr>
                <w:webHidden/>
                <w:rStyle w:val="IndexLink"/>
              </w:rPr>
              <w:t>Developing Components</w:t>
            </w:r>
            <w:r>
              <w:rPr>
                <w:webHidden/>
              </w:rPr>
              <w:fldChar w:fldCharType="begin"/>
            </w:r>
            <w:r>
              <w:rPr>
                <w:webHidden/>
              </w:rPr>
              <w:instrText>PAGEREF _Toc526796743 \h</w:instrText>
            </w:r>
            <w:r>
              <w:rPr>
                <w:webHidden/>
              </w:rPr>
              <w:fldChar w:fldCharType="separate"/>
            </w:r>
            <w:r>
              <w:rPr>
                <w:rStyle w:val="IndexLink"/>
                <w:vanish w:val="false"/>
              </w:rPr>
              <w:tab/>
              <w:t>6</w:t>
            </w:r>
            <w:r>
              <w:rPr>
                <w:webHidden/>
              </w:rPr>
              <w:fldChar w:fldCharType="end"/>
            </w:r>
          </w:hyperlink>
        </w:p>
        <w:p>
          <w:pPr>
            <w:pStyle w:val="Normal"/>
            <w:rPr/>
          </w:pPr>
          <w:r>
            <w:rPr/>
          </w:r>
          <w:r>
            <w:rPr/>
            <w:fldChar w:fldCharType="end"/>
          </w:r>
        </w:p>
      </w:sdtContent>
    </w:sdt>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jc w:val="center"/>
        <w:rPr/>
      </w:pPr>
      <w:r>
        <w:rPr/>
      </w:r>
    </w:p>
    <w:p>
      <w:pPr>
        <w:pStyle w:val="Heading1"/>
        <w:rPr/>
      </w:pPr>
      <w:bookmarkStart w:id="2" w:name="_Toc526796728"/>
      <w:r>
        <w:rPr/>
        <w:t>BLUF</w:t>
      </w:r>
      <w:bookmarkEnd w:id="2"/>
    </w:p>
    <w:p>
      <w:pPr>
        <w:pStyle w:val="Normal"/>
        <w:rPr/>
      </w:pPr>
      <w:r>
        <w:rPr/>
        <w:t>YACK is a PS2.0 complaint windows host collection script that can do local collection or multithreaded remote collection. Remote collections, and their data transfers, are done over PSSession (WinRM.)</w:t>
      </w:r>
    </w:p>
    <w:p>
      <w:pPr>
        <w:pStyle w:val="Heading1"/>
        <w:rPr/>
      </w:pPr>
      <w:bookmarkStart w:id="3" w:name="_Toc526796729"/>
      <w:r>
        <w:rPr/>
        <w:t>Overview</w:t>
      </w:r>
      <w:bookmarkEnd w:id="3"/>
    </w:p>
    <w:p>
      <w:pPr>
        <w:pStyle w:val="Normal"/>
        <w:rPr/>
      </w:pPr>
      <w:r>
        <w:rPr/>
        <w:t xml:space="preserve">YACK’s purpose it to provide a standard method of collection and data storage format for windows host triage forensics. The goal of this will be to enable a common dataset that analytics can be developed against and thus shared. The Kansa project on GitHub is where a large portion of this project is derived from. YACK can be divided into 3 parts: the controlling script, collectors and parsers. </w:t>
      </w:r>
    </w:p>
    <w:p>
      <w:pPr>
        <w:pStyle w:val="Normal"/>
        <w:rPr/>
      </w:pPr>
      <w:r>
        <w:rPr/>
      </w:r>
    </w:p>
    <w:p>
      <w:pPr>
        <w:pStyle w:val="Heading2"/>
        <w:rPr/>
      </w:pPr>
      <w:bookmarkStart w:id="4" w:name="_Toc526796730"/>
      <w:r>
        <w:rPr/>
        <w:t>Controlling Script</w:t>
      </w:r>
      <w:bookmarkEnd w:id="4"/>
    </w:p>
    <w:p>
      <w:pPr>
        <w:pStyle w:val="Normal"/>
        <w:rPr/>
      </w:pPr>
      <w:r>
        <w:rPr/>
        <w:t xml:space="preserve">The controlling script is what manages both the collection of data from endpoints and the parsing of said data. It can run collection against the local host or parallel across multiple remote hosts. After collection </w:t>
      </w:r>
      <w:r>
        <w:rPr/>
        <w:t>you have the option to run additional</w:t>
      </w:r>
      <w:r>
        <w:rPr/>
        <w:t xml:space="preserve"> parsers against the collected data. </w:t>
      </w:r>
      <w:r>
        <w:rPr/>
        <w:t>Both</w:t>
      </w:r>
      <w:r>
        <w:rPr/>
        <w:t xml:space="preserve"> collectors </w:t>
      </w:r>
      <w:r>
        <w:rPr/>
        <w:t>and</w:t>
      </w:r>
      <w:r>
        <w:rPr/>
        <w:t xml:space="preserve"> parsers are </w:t>
      </w:r>
      <w:r>
        <w:rPr/>
        <w:t xml:space="preserve">configurable through </w:t>
      </w:r>
      <w:r>
        <w:rPr/>
        <w:t xml:space="preserve">their respective configuration files. </w:t>
      </w:r>
    </w:p>
    <w:p>
      <w:pPr>
        <w:pStyle w:val="Normal"/>
        <w:keepNext w:val="true"/>
        <w:jc w:val="center"/>
        <w:rPr/>
      </w:pPr>
      <w:r>
        <w:rPr/>
        <w:drawing>
          <wp:inline distT="0" distB="0" distL="0" distR="0">
            <wp:extent cx="3352165" cy="2679700"/>
            <wp:effectExtent l="0" t="0" r="0" b="0"/>
            <wp:docPr id="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descr=""/>
                    <pic:cNvPicPr>
                      <a:picLocks noChangeAspect="1" noChangeArrowheads="1"/>
                    </pic:cNvPicPr>
                  </pic:nvPicPr>
                  <pic:blipFill>
                    <a:blip r:embed="rId2"/>
                    <a:stretch>
                      <a:fillRect/>
                    </a:stretch>
                  </pic:blipFill>
                  <pic:spPr bwMode="auto">
                    <a:xfrm>
                      <a:off x="0" y="0"/>
                      <a:ext cx="3352165" cy="2679700"/>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1</w:t>
      </w:r>
      <w:r>
        <w:rPr/>
        <w:fldChar w:fldCharType="end"/>
      </w:r>
      <w:r>
        <w:rPr/>
        <w:t>: Overview of yack running collection.</w:t>
      </w:r>
    </w:p>
    <w:p>
      <w:pPr>
        <w:pStyle w:val="Normal"/>
        <w:rPr/>
      </w:pPr>
      <w:r>
        <w:rPr/>
      </w:r>
    </w:p>
    <w:p>
      <w:pPr>
        <w:pStyle w:val="Heading2"/>
        <w:rPr/>
      </w:pPr>
      <w:bookmarkStart w:id="5" w:name="_Toc526796731"/>
      <w:r>
        <w:rPr/>
        <w:t>Collectors</w:t>
      </w:r>
      <w:bookmarkEnd w:id="5"/>
    </w:p>
    <w:p>
      <w:pPr>
        <w:pStyle w:val="Normal"/>
        <w:rPr/>
      </w:pPr>
      <w:r>
        <w:rPr/>
        <w:t xml:space="preserve">Collectors are self-contained PowerShell scripts that are ran on the target machine to collect data of interest. The data is returned back to yack over the PSSession session. When data formatting is required, </w:t>
      </w:r>
      <w:r>
        <w:rPr/>
        <w:t>it’s normally done</w:t>
      </w:r>
      <w:r>
        <w:rPr/>
        <w:t xml:space="preserve"> on the remote machine before being returned.</w:t>
      </w:r>
    </w:p>
    <w:p>
      <w:pPr>
        <w:pStyle w:val="Heading2"/>
        <w:rPr/>
      </w:pPr>
      <w:bookmarkStart w:id="6" w:name="_Toc526796732"/>
      <w:r>
        <w:rPr/>
        <w:t>Parsers</w:t>
      </w:r>
      <w:bookmarkEnd w:id="6"/>
    </w:p>
    <w:p>
      <w:pPr>
        <w:pStyle w:val="Normal"/>
        <w:rPr/>
      </w:pPr>
      <w:r>
        <w:rPr/>
        <w:t xml:space="preserve">Parsers are self-contained PowerShell scripts that do additional processing </w:t>
      </w:r>
      <w:r>
        <w:rPr/>
        <w:t>of</w:t>
      </w:r>
      <w:r>
        <w:rPr/>
        <w:t xml:space="preserve"> the data </w:t>
      </w:r>
      <w:r>
        <w:rPr/>
        <w:t>which</w:t>
      </w:r>
      <w:r>
        <w:rPr/>
        <w:t xml:space="preserve"> could not be </w:t>
      </w:r>
      <w:r>
        <w:rPr/>
        <w:t>completed</w:t>
      </w:r>
      <w:r>
        <w:rPr/>
        <w:t xml:space="preserve"> on the target systems. An example </w:t>
      </w:r>
      <w:r>
        <w:rPr/>
        <w:t>collector</w:t>
      </w:r>
      <w:r>
        <w:rPr/>
        <w:t xml:space="preserve"> of this is a memory dump, </w:t>
      </w:r>
      <w:r>
        <w:rPr/>
        <w:t>where you want to run additional modules against the results</w:t>
      </w:r>
      <w:r>
        <w:rPr/>
        <w:t xml:space="preserve">. </w:t>
      </w:r>
    </w:p>
    <w:p>
      <w:pPr>
        <w:pStyle w:val="Heading2"/>
        <w:rPr/>
      </w:pPr>
      <w:bookmarkStart w:id="7" w:name="_Toc526796733"/>
      <w:r>
        <w:rPr/>
        <w:t>Project Structure</w:t>
      </w:r>
      <w:bookmarkEnd w:id="7"/>
    </w:p>
    <w:p>
      <w:pPr>
        <w:pStyle w:val="Normal"/>
        <w:spacing w:lineRule="auto" w:line="240" w:before="0" w:after="160"/>
        <w:ind w:left="720" w:hanging="0"/>
        <w:contextualSpacing/>
        <w:rPr/>
      </w:pPr>
      <w:r>
        <w:rPr>
          <w:b/>
        </w:rPr>
        <w:t>Internals</w:t>
      </w:r>
      <w:r>
        <w:rPr/>
        <w:t xml:space="preserve"> - For configuring the running of the collection/script</w:t>
      </w:r>
    </w:p>
    <w:p>
      <w:pPr>
        <w:pStyle w:val="Normal"/>
        <w:spacing w:lineRule="auto" w:line="240" w:before="0" w:after="160"/>
        <w:ind w:left="720" w:firstLine="720"/>
        <w:contextualSpacing/>
        <w:rPr/>
      </w:pPr>
      <w:r>
        <w:rPr>
          <w:b/>
        </w:rPr>
        <w:t>Config</w:t>
      </w:r>
      <w:r>
        <w:rPr/>
        <w:t xml:space="preserve"> </w:t>
        <w:tab/>
        <w:t>- Folder for configs</w:t>
      </w:r>
    </w:p>
    <w:p>
      <w:pPr>
        <w:pStyle w:val="Normal"/>
        <w:spacing w:lineRule="auto" w:line="240" w:before="0" w:after="160"/>
        <w:ind w:left="1440" w:firstLine="720"/>
        <w:contextualSpacing/>
        <w:rPr/>
      </w:pPr>
      <w:r>
        <w:rPr/>
        <w:t xml:space="preserve">Yack.conf </w:t>
        <w:tab/>
        <w:t>- The configuration file for the controlling script</w:t>
        <w:tab/>
      </w:r>
    </w:p>
    <w:p>
      <w:pPr>
        <w:pStyle w:val="Normal"/>
        <w:spacing w:lineRule="auto" w:line="240" w:before="0" w:after="160"/>
        <w:ind w:left="1440" w:firstLine="720"/>
        <w:contextualSpacing/>
        <w:rPr/>
      </w:pPr>
      <w:r>
        <w:rPr/>
        <w:t>Collectors.conf</w:t>
        <w:tab/>
        <w:t>- Selects which collectors are ran</w:t>
      </w:r>
    </w:p>
    <w:p>
      <w:pPr>
        <w:pStyle w:val="Normal"/>
        <w:spacing w:lineRule="auto" w:line="240" w:before="0" w:after="160"/>
        <w:ind w:left="1440" w:firstLine="720"/>
        <w:contextualSpacing/>
        <w:rPr/>
      </w:pPr>
      <w:r>
        <w:rPr/>
        <w:t>Parsers.conf</w:t>
        <w:tab/>
        <w:t>- Selects which parsers are ran</w:t>
      </w:r>
    </w:p>
    <w:p>
      <w:pPr>
        <w:pStyle w:val="Normal"/>
        <w:spacing w:lineRule="auto" w:line="240" w:before="0" w:after="160"/>
        <w:ind w:left="720" w:firstLine="720"/>
        <w:contextualSpacing/>
        <w:rPr/>
      </w:pPr>
      <w:r>
        <w:rPr>
          <w:b/>
        </w:rPr>
        <w:t>Functions</w:t>
      </w:r>
      <w:r>
        <w:rPr/>
        <w:t xml:space="preserve"> - Folder for function used in yack.ps1</w:t>
      </w:r>
    </w:p>
    <w:p>
      <w:pPr>
        <w:pStyle w:val="Normal"/>
        <w:spacing w:lineRule="auto" w:line="240" w:before="0" w:after="160"/>
        <w:ind w:left="720" w:firstLine="720"/>
        <w:contextualSpacing/>
        <w:rPr/>
      </w:pPr>
      <w:r>
        <w:rPr>
          <w:b/>
        </w:rPr>
        <w:t>yack.log</w:t>
      </w:r>
      <w:r>
        <w:rPr/>
        <w:t xml:space="preserve">    - The controlling script’s log</w:t>
      </w:r>
    </w:p>
    <w:p>
      <w:pPr>
        <w:pStyle w:val="Normal"/>
        <w:spacing w:lineRule="auto" w:line="240" w:before="0" w:after="160"/>
        <w:ind w:left="720" w:firstLine="720"/>
        <w:contextualSpacing/>
        <w:rPr/>
      </w:pPr>
      <w:r>
        <w:rPr/>
      </w:r>
    </w:p>
    <w:p>
      <w:pPr>
        <w:pStyle w:val="Normal"/>
        <w:spacing w:lineRule="auto" w:line="240" w:before="0" w:after="160"/>
        <w:ind w:left="720" w:hanging="0"/>
        <w:contextualSpacing/>
        <w:rPr/>
      </w:pPr>
      <w:r>
        <w:rPr>
          <w:b/>
        </w:rPr>
        <w:t>Colllectors</w:t>
      </w:r>
      <w:r>
        <w:rPr/>
        <w:t xml:space="preserve"> – The directory which all collectors are stored</w:t>
      </w:r>
    </w:p>
    <w:p>
      <w:pPr>
        <w:pStyle w:val="Normal"/>
        <w:spacing w:lineRule="auto" w:line="240" w:before="0" w:after="160"/>
        <w:ind w:left="720" w:hanging="0"/>
        <w:contextualSpacing/>
        <w:rPr/>
      </w:pPr>
      <w:r>
        <w:rPr/>
        <w:tab/>
      </w:r>
      <w:r>
        <w:rPr>
          <w:b/>
        </w:rPr>
        <w:t>_Dependencies</w:t>
      </w:r>
      <w:r>
        <w:rPr/>
        <w:tab/>
        <w:t>- File/scripts that need to be transferred or included for the collectors to run.</w:t>
      </w:r>
    </w:p>
    <w:p>
      <w:pPr>
        <w:pStyle w:val="Normal"/>
        <w:spacing w:lineRule="auto" w:line="240" w:before="0" w:after="160"/>
        <w:ind w:left="720" w:hanging="0"/>
        <w:contextualSpacing/>
        <w:rPr/>
      </w:pPr>
      <w:r>
        <w:rPr/>
        <w:tab/>
      </w:r>
      <w:r>
        <w:rPr>
          <w:b/>
        </w:rPr>
        <w:t>Apps</w:t>
      </w:r>
      <w:r>
        <w:rPr/>
        <w:tab/>
        <w:tab/>
        <w:t xml:space="preserve">- Specific to applications </w:t>
      </w:r>
    </w:p>
    <w:p>
      <w:pPr>
        <w:pStyle w:val="Normal"/>
        <w:spacing w:lineRule="auto" w:line="240" w:before="0" w:after="160"/>
        <w:ind w:left="720" w:hanging="0"/>
        <w:contextualSpacing/>
        <w:rPr/>
      </w:pPr>
      <w:r>
        <w:rPr/>
        <w:tab/>
      </w:r>
      <w:r>
        <w:rPr>
          <w:b/>
        </w:rPr>
        <w:t>Disk</w:t>
      </w:r>
      <w:r>
        <w:rPr/>
        <w:tab/>
        <w:tab/>
        <w:t>- Information related to disk</w:t>
      </w:r>
    </w:p>
    <w:p>
      <w:pPr>
        <w:pStyle w:val="Normal"/>
        <w:spacing w:lineRule="auto" w:line="240" w:before="0" w:after="160"/>
        <w:ind w:left="720" w:hanging="0"/>
        <w:contextualSpacing/>
        <w:rPr/>
      </w:pPr>
      <w:r>
        <w:rPr/>
        <w:tab/>
      </w:r>
      <w:r>
        <w:rPr>
          <w:b/>
        </w:rPr>
        <w:t>Exec_Current</w:t>
      </w:r>
      <w:r>
        <w:rPr/>
        <w:tab/>
        <w:t>- Currently executing processes</w:t>
      </w:r>
    </w:p>
    <w:p>
      <w:pPr>
        <w:pStyle w:val="Normal"/>
        <w:spacing w:lineRule="auto" w:line="240" w:before="0" w:after="160"/>
        <w:ind w:left="720" w:hanging="0"/>
        <w:contextualSpacing/>
        <w:rPr/>
      </w:pPr>
      <w:r>
        <w:rPr/>
        <w:tab/>
      </w:r>
      <w:r>
        <w:rPr>
          <w:b/>
        </w:rPr>
        <w:t>Exec_Historical</w:t>
      </w:r>
      <w:r>
        <w:rPr/>
        <w:tab/>
        <w:t>- Evidence of execution</w:t>
      </w:r>
    </w:p>
    <w:p>
      <w:pPr>
        <w:pStyle w:val="Normal"/>
        <w:spacing w:lineRule="auto" w:line="240" w:before="0" w:after="160"/>
        <w:ind w:left="720" w:hanging="0"/>
        <w:contextualSpacing/>
        <w:rPr/>
      </w:pPr>
      <w:r>
        <w:rPr/>
        <w:tab/>
      </w:r>
      <w:r>
        <w:rPr>
          <w:b/>
        </w:rPr>
        <w:t>Exec_Triggers</w:t>
      </w:r>
      <w:r>
        <w:rPr/>
        <w:tab/>
        <w:t>- Items that trigger program execution</w:t>
      </w:r>
    </w:p>
    <w:p>
      <w:pPr>
        <w:pStyle w:val="Normal"/>
        <w:spacing w:lineRule="auto" w:line="240" w:before="0" w:after="160"/>
        <w:ind w:left="720" w:hanging="0"/>
        <w:contextualSpacing/>
        <w:rPr/>
      </w:pPr>
      <w:r>
        <w:rPr/>
        <w:tab/>
      </w:r>
      <w:r>
        <w:rPr>
          <w:b/>
        </w:rPr>
        <w:t>Memory</w:t>
      </w:r>
      <w:r>
        <w:rPr/>
        <w:tab/>
        <w:t>- Memory collection or dumps</w:t>
      </w:r>
    </w:p>
    <w:p>
      <w:pPr>
        <w:pStyle w:val="Normal"/>
        <w:spacing w:lineRule="auto" w:line="240" w:before="0" w:after="160"/>
        <w:ind w:left="720" w:hanging="0"/>
        <w:contextualSpacing/>
        <w:rPr/>
      </w:pPr>
      <w:r>
        <w:rPr/>
        <w:tab/>
      </w:r>
      <w:r>
        <w:rPr>
          <w:b/>
        </w:rPr>
        <w:t>Misc</w:t>
      </w:r>
      <w:r>
        <w:rPr/>
        <w:tab/>
        <w:tab/>
        <w:t>- Anything else</w:t>
      </w:r>
    </w:p>
    <w:p>
      <w:pPr>
        <w:pStyle w:val="Normal"/>
        <w:spacing w:lineRule="auto" w:line="240" w:before="0" w:after="160"/>
        <w:ind w:left="720" w:hanging="0"/>
        <w:contextualSpacing/>
        <w:rPr/>
      </w:pPr>
      <w:r>
        <w:rPr/>
        <w:tab/>
      </w:r>
      <w:r>
        <w:rPr>
          <w:b/>
        </w:rPr>
        <w:t>Network</w:t>
      </w:r>
      <w:r>
        <w:rPr/>
        <w:tab/>
        <w:t>- Data related to network</w:t>
      </w:r>
    </w:p>
    <w:p>
      <w:pPr>
        <w:pStyle w:val="Normal"/>
        <w:spacing w:lineRule="auto" w:line="240" w:before="0" w:after="160"/>
        <w:ind w:left="720" w:hanging="0"/>
        <w:contextualSpacing/>
        <w:rPr/>
      </w:pPr>
      <w:r>
        <w:rPr/>
        <w:tab/>
      </w:r>
      <w:r>
        <w:rPr>
          <w:b/>
        </w:rPr>
        <w:t>System</w:t>
      </w:r>
      <w:r>
        <w:rPr/>
        <w:tab/>
        <w:tab/>
        <w:t>- Data about this specific system</w:t>
      </w:r>
    </w:p>
    <w:p>
      <w:pPr>
        <w:pStyle w:val="Normal"/>
        <w:spacing w:lineRule="auto" w:line="240" w:before="0" w:after="160"/>
        <w:ind w:left="720" w:hanging="0"/>
        <w:contextualSpacing/>
        <w:rPr/>
      </w:pPr>
      <w:r>
        <w:rPr/>
        <w:tab/>
      </w:r>
      <w:r>
        <w:rPr>
          <w:b/>
        </w:rPr>
        <w:t>User</w:t>
      </w:r>
      <w:r>
        <w:rPr/>
        <w:tab/>
        <w:tab/>
        <w:t>- User behavior or activity</w:t>
      </w:r>
    </w:p>
    <w:p>
      <w:pPr>
        <w:pStyle w:val="Normal"/>
        <w:spacing w:lineRule="auto" w:line="240" w:before="0" w:after="160"/>
        <w:ind w:left="720" w:hanging="0"/>
        <w:contextualSpacing/>
        <w:rPr/>
      </w:pPr>
      <w:r>
        <w:rPr/>
        <w:tab/>
      </w:r>
    </w:p>
    <w:p>
      <w:pPr>
        <w:pStyle w:val="Normal"/>
        <w:spacing w:lineRule="auto" w:line="240" w:before="0" w:after="160"/>
        <w:ind w:left="720" w:hanging="0"/>
        <w:contextualSpacing/>
        <w:rPr>
          <w:b/>
          <w:b/>
        </w:rPr>
      </w:pPr>
      <w:r>
        <w:rPr>
          <w:b/>
        </w:rPr>
        <w:t xml:space="preserve">Parsers – </w:t>
      </w:r>
      <w:r>
        <w:rPr/>
        <w:t>The directory which all parsers are stored</w:t>
      </w:r>
    </w:p>
    <w:p>
      <w:pPr>
        <w:pStyle w:val="Normal"/>
        <w:spacing w:lineRule="auto" w:line="240" w:before="0" w:after="160"/>
        <w:ind w:left="720" w:hanging="0"/>
        <w:contextualSpacing/>
        <w:rPr/>
      </w:pPr>
      <w:r>
        <w:rPr/>
        <w:tab/>
        <w:t>“”</w:t>
        <w:tab/>
        <w:tab/>
        <w:t>- Same layout as collectors</w:t>
      </w:r>
    </w:p>
    <w:p>
      <w:pPr>
        <w:pStyle w:val="Normal"/>
        <w:spacing w:lineRule="auto" w:line="240" w:before="0" w:after="160"/>
        <w:ind w:left="720" w:hanging="0"/>
        <w:contextualSpacing/>
        <w:rPr/>
      </w:pPr>
      <w:r>
        <w:rPr/>
      </w:r>
    </w:p>
    <w:p>
      <w:pPr>
        <w:pStyle w:val="Normal"/>
        <w:spacing w:lineRule="auto" w:line="240" w:before="0" w:after="160"/>
        <w:ind w:left="720" w:hanging="0"/>
        <w:contextualSpacing/>
        <w:rPr/>
      </w:pPr>
      <w:r>
        <w:rPr>
          <w:b/>
        </w:rPr>
        <w:t>yack.ps1</w:t>
      </w:r>
      <w:r>
        <w:rPr/>
        <w:tab/>
        <w:t>- The controlling script</w:t>
      </w:r>
    </w:p>
    <w:p>
      <w:pPr>
        <w:pStyle w:val="Normal"/>
        <w:rPr/>
      </w:pPr>
      <w:r>
        <w:rPr/>
      </w:r>
    </w:p>
    <w:p>
      <w:pPr>
        <w:pStyle w:val="Heading1"/>
        <w:rPr/>
      </w:pPr>
      <w:bookmarkStart w:id="8" w:name="_Toc526796734"/>
      <w:r>
        <w:rPr/>
        <w:t>Using YACK</w:t>
      </w:r>
      <w:bookmarkEnd w:id="8"/>
    </w:p>
    <w:p>
      <w:pPr>
        <w:pStyle w:val="Normal"/>
        <w:rPr/>
      </w:pPr>
      <w:r>
        <w:rPr/>
        <w:t>The following section describes common use cases and describes how to configure yack for them.</w:t>
      </w:r>
    </w:p>
    <w:p>
      <w:pPr>
        <w:pStyle w:val="Heading2"/>
        <w:rPr/>
      </w:pPr>
      <w:bookmarkStart w:id="9" w:name="_Toc526796735"/>
      <w:r>
        <w:rPr/>
        <w:t>Collect Running Processes on the Local Machine</w:t>
      </w:r>
      <w:bookmarkEnd w:id="9"/>
    </w:p>
    <w:p>
      <w:pPr>
        <w:pStyle w:val="Normal"/>
        <w:rPr/>
      </w:pPr>
      <w:r>
        <w:rPr/>
        <w:t>To collect running processes on the local machine you have to do the following:</w:t>
      </w:r>
    </w:p>
    <w:p>
      <w:pPr>
        <w:pStyle w:val="ListParagraph"/>
        <w:numPr>
          <w:ilvl w:val="0"/>
          <w:numId w:val="1"/>
        </w:numPr>
        <w:rPr/>
      </w:pPr>
      <w:r>
        <w:rPr/>
        <w:t>Open \YACK\Internals\Config\Yack.conf</w:t>
      </w:r>
    </w:p>
    <w:p>
      <w:pPr>
        <w:pStyle w:val="ListParagraph"/>
        <w:numPr>
          <w:ilvl w:val="1"/>
          <w:numId w:val="1"/>
        </w:numPr>
        <w:rPr/>
      </w:pPr>
      <w:r>
        <w:rPr/>
        <w:t xml:space="preserve">CollectionMode=Local </w:t>
        <w:tab/>
        <w:t xml:space="preserve"> ~ this tells yack to run in local collection mode.</w:t>
      </w:r>
    </w:p>
    <w:p>
      <w:pPr>
        <w:pStyle w:val="ListParagraph"/>
        <w:numPr>
          <w:ilvl w:val="1"/>
          <w:numId w:val="1"/>
        </w:numPr>
        <w:rPr/>
      </w:pPr>
      <w:r>
        <w:rPr/>
        <w:t xml:space="preserve">RunCollectors=True  </w:t>
        <w:tab/>
        <w:t>~ this enables collectors.</w:t>
      </w:r>
    </w:p>
    <w:p>
      <w:pPr>
        <w:pStyle w:val="ListParagraph"/>
        <w:numPr>
          <w:ilvl w:val="1"/>
          <w:numId w:val="1"/>
        </w:numPr>
        <w:rPr/>
      </w:pPr>
      <w:r>
        <w:rPr/>
        <w:t xml:space="preserve">RunParsers=False  </w:t>
        <w:tab/>
        <w:t>~ this disables parsers.</w:t>
      </w:r>
    </w:p>
    <w:p>
      <w:pPr>
        <w:pStyle w:val="ListParagraph"/>
        <w:numPr>
          <w:ilvl w:val="1"/>
          <w:numId w:val="1"/>
        </w:numPr>
        <w:rPr/>
      </w:pPr>
      <w:r>
        <w:rPr/>
        <w:t>Save.</w:t>
      </w:r>
    </w:p>
    <w:p>
      <w:pPr>
        <w:pStyle w:val="ListParagraph"/>
        <w:numPr>
          <w:ilvl w:val="0"/>
          <w:numId w:val="1"/>
        </w:numPr>
        <w:rPr/>
      </w:pPr>
      <w:r>
        <w:rPr/>
        <w:t>Open \YACK\Internals\Config\Collectors.conf</w:t>
      </w:r>
    </w:p>
    <w:p>
      <w:pPr>
        <w:pStyle w:val="ListParagraph"/>
        <w:numPr>
          <w:ilvl w:val="1"/>
          <w:numId w:val="1"/>
        </w:numPr>
        <w:rPr/>
      </w:pPr>
      <w:r>
        <w:rPr/>
        <w:t>Comment out all lines, if they are not already, with a # sign.</w:t>
      </w:r>
    </w:p>
    <w:p>
      <w:pPr>
        <w:pStyle w:val="ListParagraph"/>
        <w:numPr>
          <w:ilvl w:val="1"/>
          <w:numId w:val="1"/>
        </w:numPr>
        <w:rPr/>
      </w:pPr>
      <w:r>
        <w:rPr/>
        <w:t>Uncomment “\Exec_Current\Get-Processes.ps1”</w:t>
      </w:r>
    </w:p>
    <w:p>
      <w:pPr>
        <w:pStyle w:val="ListParagraph"/>
        <w:numPr>
          <w:ilvl w:val="1"/>
          <w:numId w:val="1"/>
        </w:numPr>
        <w:rPr/>
      </w:pPr>
      <w:r>
        <w:rPr/>
        <w:t>Save</w:t>
      </w:r>
    </w:p>
    <w:p>
      <w:pPr>
        <w:pStyle w:val="ListParagraph"/>
        <w:numPr>
          <w:ilvl w:val="0"/>
          <w:numId w:val="1"/>
        </w:numPr>
        <w:rPr/>
      </w:pPr>
      <w:r>
        <w:rPr/>
        <w:t>Open an elevated PowerShell prompt.</w:t>
      </w:r>
    </w:p>
    <w:p>
      <w:pPr>
        <w:pStyle w:val="ListParagraph"/>
        <w:numPr>
          <w:ilvl w:val="0"/>
          <w:numId w:val="1"/>
        </w:numPr>
        <w:rPr/>
      </w:pPr>
      <w:r>
        <w:rPr/>
        <w:t>Navigate to the yack folder and run .\yack.ps1</w:t>
      </w:r>
    </w:p>
    <w:p>
      <w:pPr>
        <w:pStyle w:val="ListParagraph"/>
        <w:numPr>
          <w:ilvl w:val="0"/>
          <w:numId w:val="1"/>
        </w:numPr>
        <w:rPr/>
      </w:pPr>
      <w:r>
        <w:rPr/>
        <w:t>Observe results inside of \YACK\Output\{timestamp]\{hostname}\Exec_Current\Processes.csv</w:t>
      </w:r>
    </w:p>
    <w:p>
      <w:pPr>
        <w:pStyle w:val="Normal"/>
        <w:rPr/>
      </w:pPr>
      <w:r>
        <w:rPr/>
      </w:r>
    </w:p>
    <w:p>
      <w:pPr>
        <w:pStyle w:val="Normal"/>
        <w:rPr/>
      </w:pPr>
      <w:r>
        <w:rPr/>
      </w:r>
    </w:p>
    <w:p>
      <w:pPr>
        <w:pStyle w:val="Heading2"/>
        <w:rPr/>
      </w:pPr>
      <w:bookmarkStart w:id="10" w:name="_Toc526796736"/>
      <w:r>
        <w:rPr/>
        <w:t>Run Collection on Multiple Remote Machine</w:t>
      </w:r>
      <w:bookmarkEnd w:id="10"/>
    </w:p>
    <w:p>
      <w:pPr>
        <w:pStyle w:val="Normal"/>
        <w:rPr/>
      </w:pPr>
      <w:r>
        <w:rPr/>
        <w:t>To collect running processes on a remote machine you have to do the following:</w:t>
      </w:r>
    </w:p>
    <w:p>
      <w:pPr>
        <w:pStyle w:val="ListParagraph"/>
        <w:numPr>
          <w:ilvl w:val="0"/>
          <w:numId w:val="2"/>
        </w:numPr>
        <w:rPr/>
      </w:pPr>
      <w:r>
        <w:rPr/>
        <w:t>Enable WinRM on target machine. See Enabling WinRM.</w:t>
      </w:r>
    </w:p>
    <w:p>
      <w:pPr>
        <w:pStyle w:val="ListParagraph"/>
        <w:numPr>
          <w:ilvl w:val="0"/>
          <w:numId w:val="2"/>
        </w:numPr>
        <w:rPr/>
      </w:pPr>
      <w:r>
        <w:rPr/>
        <w:t>Open \YACK\Internals\Config\Yack.conf</w:t>
      </w:r>
    </w:p>
    <w:p>
      <w:pPr>
        <w:pStyle w:val="ListParagraph"/>
        <w:numPr>
          <w:ilvl w:val="1"/>
          <w:numId w:val="2"/>
        </w:numPr>
        <w:rPr/>
      </w:pPr>
      <w:r>
        <w:rPr/>
        <w:t xml:space="preserve">CollectionMode=Remote </w:t>
        <w:tab/>
        <w:t>~ this tells yack to run in local collection mode.</w:t>
      </w:r>
    </w:p>
    <w:p>
      <w:pPr>
        <w:pStyle w:val="ListParagraph"/>
        <w:numPr>
          <w:ilvl w:val="1"/>
          <w:numId w:val="2"/>
        </w:numPr>
        <w:rPr/>
      </w:pPr>
      <w:r>
        <w:rPr/>
        <w:t xml:space="preserve">RunCollectors=True  </w:t>
        <w:tab/>
        <w:t xml:space="preserve">  </w:t>
        <w:tab/>
        <w:t>~ this enables collectors.</w:t>
      </w:r>
    </w:p>
    <w:p>
      <w:pPr>
        <w:pStyle w:val="ListParagraph"/>
        <w:numPr>
          <w:ilvl w:val="1"/>
          <w:numId w:val="2"/>
        </w:numPr>
        <w:rPr/>
      </w:pPr>
      <w:r>
        <w:rPr/>
        <w:t xml:space="preserve">RunParsers=False  </w:t>
        <w:tab/>
        <w:t xml:space="preserve">   </w:t>
        <w:tab/>
        <w:t>~ this disables parsers.</w:t>
      </w:r>
    </w:p>
    <w:p>
      <w:pPr>
        <w:pStyle w:val="ListParagraph"/>
        <w:numPr>
          <w:ilvl w:val="1"/>
          <w:numId w:val="2"/>
        </w:numPr>
        <w:rPr/>
      </w:pPr>
      <w:r>
        <w:rPr/>
        <w:t xml:space="preserve">AuthenticationMode=NTLM </w:t>
        <w:tab/>
        <w:t xml:space="preserve">~ this will prompt the user for the account </w:t>
      </w:r>
    </w:p>
    <w:p>
      <w:pPr>
        <w:pStyle w:val="ListParagraph"/>
        <w:numPr>
          <w:ilvl w:val="1"/>
          <w:numId w:val="2"/>
        </w:numPr>
        <w:rPr/>
      </w:pPr>
      <w:r>
        <w:rPr/>
        <w:t>Save.</w:t>
      </w:r>
    </w:p>
    <w:p>
      <w:pPr>
        <w:pStyle w:val="ListParagraph"/>
        <w:numPr>
          <w:ilvl w:val="0"/>
          <w:numId w:val="2"/>
        </w:numPr>
        <w:rPr/>
      </w:pPr>
      <w:r>
        <w:rPr/>
        <w:t>Open \YACK\Internals\Config\Collectors.conf</w:t>
      </w:r>
    </w:p>
    <w:p>
      <w:pPr>
        <w:pStyle w:val="ListParagraph"/>
        <w:numPr>
          <w:ilvl w:val="1"/>
          <w:numId w:val="2"/>
        </w:numPr>
        <w:rPr/>
      </w:pPr>
      <w:r>
        <w:rPr/>
        <w:t>Comment out all lines, if they are not already, with a # sign.</w:t>
      </w:r>
    </w:p>
    <w:p>
      <w:pPr>
        <w:pStyle w:val="ListParagraph"/>
        <w:numPr>
          <w:ilvl w:val="1"/>
          <w:numId w:val="2"/>
        </w:numPr>
        <w:rPr/>
      </w:pPr>
      <w:r>
        <w:rPr/>
        <w:t>Uncomment “\Exec_Current\Get-Processes.ps1”</w:t>
      </w:r>
    </w:p>
    <w:p>
      <w:pPr>
        <w:pStyle w:val="ListParagraph"/>
        <w:numPr>
          <w:ilvl w:val="1"/>
          <w:numId w:val="2"/>
        </w:numPr>
        <w:rPr/>
      </w:pPr>
      <w:r>
        <w:rPr/>
        <w:t>Save</w:t>
      </w:r>
    </w:p>
    <w:p>
      <w:pPr>
        <w:pStyle w:val="ListParagraph"/>
        <w:numPr>
          <w:ilvl w:val="0"/>
          <w:numId w:val="2"/>
        </w:numPr>
        <w:rPr/>
      </w:pPr>
      <w:r>
        <w:rPr/>
        <w:t>Open \YACK\Internals\Config\Hostnames.conf</w:t>
      </w:r>
    </w:p>
    <w:p>
      <w:pPr>
        <w:pStyle w:val="ListParagraph"/>
        <w:numPr>
          <w:ilvl w:val="1"/>
          <w:numId w:val="2"/>
        </w:numPr>
        <w:rPr/>
      </w:pPr>
      <w:r>
        <w:rPr/>
        <w:t>Comment out all lines, if they are not already, with a # sign.</w:t>
      </w:r>
    </w:p>
    <w:p>
      <w:pPr>
        <w:pStyle w:val="ListParagraph"/>
        <w:numPr>
          <w:ilvl w:val="1"/>
          <w:numId w:val="2"/>
        </w:numPr>
        <w:rPr/>
      </w:pPr>
      <w:r>
        <w:rPr/>
        <w:t>Add the hostname or ip address of the machine you want to run collection on.</w:t>
      </w:r>
    </w:p>
    <w:p>
      <w:pPr>
        <w:pStyle w:val="ListParagraph"/>
        <w:numPr>
          <w:ilvl w:val="1"/>
          <w:numId w:val="2"/>
        </w:numPr>
        <w:rPr/>
      </w:pPr>
      <w:r>
        <w:rPr/>
        <w:t>Save</w:t>
      </w:r>
    </w:p>
    <w:p>
      <w:pPr>
        <w:pStyle w:val="ListParagraph"/>
        <w:numPr>
          <w:ilvl w:val="0"/>
          <w:numId w:val="2"/>
        </w:numPr>
        <w:rPr/>
      </w:pPr>
      <w:r>
        <w:rPr/>
      </w:r>
    </w:p>
    <w:p>
      <w:pPr>
        <w:pStyle w:val="Normal"/>
        <w:rPr/>
      </w:pPr>
      <w:r>
        <w:rPr/>
      </w:r>
    </w:p>
    <w:p>
      <w:pPr>
        <w:pStyle w:val="Heading2"/>
        <w:rPr/>
      </w:pPr>
      <w:bookmarkStart w:id="11" w:name="_Toc526796737"/>
      <w:r>
        <w:rPr/>
        <w:t>Enable WinRM</w:t>
      </w:r>
      <w:bookmarkEnd w:id="11"/>
    </w:p>
    <w:p>
      <w:pPr>
        <w:pStyle w:val="Normal"/>
        <w:rPr/>
      </w:pPr>
      <w:r>
        <w:rPr/>
        <w:t>PowerShell remoting must be enabled for YACK to work with remote collection. There are a couple different ways of doing this.</w:t>
      </w:r>
    </w:p>
    <w:p>
      <w:pPr>
        <w:pStyle w:val="Heading3"/>
        <w:rPr/>
      </w:pPr>
      <w:bookmarkStart w:id="12" w:name="_Toc526796738"/>
      <w:r>
        <w:rPr/>
        <w:t>Manually</w:t>
      </w:r>
      <w:bookmarkEnd w:id="12"/>
    </w:p>
    <w:p>
      <w:pPr>
        <w:pStyle w:val="ListParagraph"/>
        <w:numPr>
          <w:ilvl w:val="0"/>
          <w:numId w:val="3"/>
        </w:numPr>
        <w:rPr/>
      </w:pPr>
      <w:r>
        <w:rPr/>
        <w:t>Gain access to the target machine</w:t>
      </w:r>
    </w:p>
    <w:p>
      <w:pPr>
        <w:pStyle w:val="ListParagraph"/>
        <w:numPr>
          <w:ilvl w:val="0"/>
          <w:numId w:val="3"/>
        </w:numPr>
        <w:rPr/>
      </w:pPr>
      <w:r>
        <w:rPr/>
        <w:t>Open an elevated powershell prompt</w:t>
      </w:r>
    </w:p>
    <w:p>
      <w:pPr>
        <w:pStyle w:val="ListParagraph"/>
        <w:numPr>
          <w:ilvl w:val="0"/>
          <w:numId w:val="3"/>
        </w:numPr>
        <w:rPr/>
      </w:pPr>
      <w:r>
        <w:rPr/>
        <w:t>Run “Enable-PSRemoting -force”</w:t>
      </w:r>
    </w:p>
    <w:p>
      <w:pPr>
        <w:pStyle w:val="Heading3"/>
        <w:rPr/>
      </w:pPr>
      <w:bookmarkStart w:id="13" w:name="_Toc526796739"/>
      <w:r>
        <w:rPr/>
        <w:t>Group Policy</w:t>
      </w:r>
      <w:bookmarkEnd w:id="13"/>
    </w:p>
    <w:p>
      <w:pPr>
        <w:pStyle w:val="ListParagraph"/>
        <w:numPr>
          <w:ilvl w:val="0"/>
          <w:numId w:val="4"/>
        </w:numPr>
        <w:rPr/>
      </w:pPr>
      <w:r>
        <w:rPr/>
        <w:t xml:space="preserve">Open Group Policy Management Console </w:t>
      </w:r>
    </w:p>
    <w:p>
      <w:pPr>
        <w:pStyle w:val="ListParagraph"/>
        <w:numPr>
          <w:ilvl w:val="0"/>
          <w:numId w:val="4"/>
        </w:numPr>
        <w:rPr/>
      </w:pPr>
      <w:r>
        <w:rPr/>
        <w:t>Navigate to Computer Policies | Administrative Templates | Windows Components | Windows Remote Management (RM) | WinRM Service.</w:t>
      </w:r>
    </w:p>
    <w:p>
      <w:pPr>
        <w:pStyle w:val="ListParagraph"/>
        <w:numPr>
          <w:ilvl w:val="0"/>
          <w:numId w:val="4"/>
        </w:numPr>
        <w:rPr/>
      </w:pPr>
      <w:r>
        <w:rPr/>
        <w:t>Allow remote server management Server management through WinRM.</w:t>
      </w:r>
    </w:p>
    <w:p>
      <w:pPr>
        <w:pStyle w:val="Heading3"/>
        <w:rPr/>
      </w:pPr>
      <w:bookmarkStart w:id="14" w:name="_Toc526796740"/>
      <w:r>
        <w:rPr/>
        <w:t>Enable Over SMB</w:t>
      </w:r>
      <w:bookmarkEnd w:id="14"/>
    </w:p>
    <w:p>
      <w:pPr>
        <w:pStyle w:val="ListParagraph"/>
        <w:numPr>
          <w:ilvl w:val="0"/>
          <w:numId w:val="5"/>
        </w:numPr>
        <w:rPr/>
      </w:pPr>
      <w:r>
        <w:rPr/>
        <w:t>Enable win rm over smb</w:t>
      </w:r>
    </w:p>
    <w:p>
      <w:pPr>
        <w:pStyle w:val="Heading3"/>
        <w:rPr/>
      </w:pPr>
      <w:bookmarkStart w:id="15" w:name="_Toc526796741"/>
      <w:r>
        <w:rPr/>
        <w:t>Enable Over WMI</w:t>
      </w:r>
      <w:bookmarkEnd w:id="15"/>
    </w:p>
    <w:p>
      <w:pPr>
        <w:pStyle w:val="ListParagraph"/>
        <w:numPr>
          <w:ilvl w:val="0"/>
          <w:numId w:val="6"/>
        </w:numPr>
        <w:spacing w:before="0" w:after="160"/>
        <w:contextualSpacing/>
        <w:rPr/>
      </w:pPr>
      <w:r>
        <w:rPr/>
        <w:t>Enable winrm over wmi. Get-Baseline is a good example.</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a4a2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8a4a2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197674"/>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a4a2d"/>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8a4a2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197674"/>
    <w:rPr>
      <w:rFonts w:ascii="Calibri Light" w:hAnsi="Calibri Light" w:eastAsia="" w:cs="" w:asciiTheme="majorHAnsi" w:cstheme="majorBidi" w:eastAsiaTheme="majorEastAsia" w:hAnsiTheme="majorHAnsi"/>
      <w:color w:val="1F4D78" w:themeColor="accent1" w:themeShade="7f"/>
      <w:sz w:val="24"/>
      <w:szCs w:val="24"/>
    </w:rPr>
  </w:style>
  <w:style w:type="character" w:styleId="HeaderChar" w:customStyle="1">
    <w:name w:val="Header Char"/>
    <w:basedOn w:val="DefaultParagraphFont"/>
    <w:link w:val="Header"/>
    <w:uiPriority w:val="99"/>
    <w:qFormat/>
    <w:rsid w:val="00197674"/>
    <w:rPr/>
  </w:style>
  <w:style w:type="character" w:styleId="FooterChar" w:customStyle="1">
    <w:name w:val="Footer Char"/>
    <w:basedOn w:val="DefaultParagraphFont"/>
    <w:link w:val="Footer"/>
    <w:uiPriority w:val="99"/>
    <w:qFormat/>
    <w:rsid w:val="00197674"/>
    <w:rPr/>
  </w:style>
  <w:style w:type="character" w:styleId="InternetLink">
    <w:name w:val="Hyperlink"/>
    <w:basedOn w:val="DefaultParagraphFont"/>
    <w:uiPriority w:val="99"/>
    <w:unhideWhenUsed/>
    <w:rsid w:val="00bd134f"/>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19767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97674"/>
    <w:pPr>
      <w:tabs>
        <w:tab w:val="clear" w:pos="720"/>
        <w:tab w:val="center" w:pos="4680" w:leader="none"/>
        <w:tab w:val="right" w:pos="9360"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bd134f"/>
    <w:pPr>
      <w:outlineLvl w:val="9"/>
    </w:pPr>
    <w:rPr/>
  </w:style>
  <w:style w:type="paragraph" w:styleId="Contents1">
    <w:name w:val="TOC 1"/>
    <w:basedOn w:val="Normal"/>
    <w:next w:val="Normal"/>
    <w:autoRedefine/>
    <w:uiPriority w:val="39"/>
    <w:unhideWhenUsed/>
    <w:rsid w:val="00bd134f"/>
    <w:pPr>
      <w:spacing w:before="0" w:after="100"/>
    </w:pPr>
    <w:rPr/>
  </w:style>
  <w:style w:type="paragraph" w:styleId="Contents2">
    <w:name w:val="TOC 2"/>
    <w:basedOn w:val="Normal"/>
    <w:next w:val="Normal"/>
    <w:autoRedefine/>
    <w:uiPriority w:val="39"/>
    <w:unhideWhenUsed/>
    <w:rsid w:val="00bd134f"/>
    <w:pPr>
      <w:spacing w:before="0" w:after="100"/>
      <w:ind w:left="220" w:hanging="0"/>
    </w:pPr>
    <w:rPr/>
  </w:style>
  <w:style w:type="paragraph" w:styleId="Contents3">
    <w:name w:val="TOC 3"/>
    <w:basedOn w:val="Normal"/>
    <w:next w:val="Normal"/>
    <w:autoRedefine/>
    <w:uiPriority w:val="39"/>
    <w:unhideWhenUsed/>
    <w:rsid w:val="00bd134f"/>
    <w:pPr>
      <w:spacing w:before="0" w:after="100"/>
      <w:ind w:left="440" w:hanging="0"/>
    </w:pPr>
    <w:rPr/>
  </w:style>
  <w:style w:type="paragraph" w:styleId="Caption1">
    <w:name w:val="caption"/>
    <w:basedOn w:val="Normal"/>
    <w:next w:val="Normal"/>
    <w:uiPriority w:val="35"/>
    <w:unhideWhenUsed/>
    <w:qFormat/>
    <w:rsid w:val="00bd134f"/>
    <w:pPr>
      <w:spacing w:lineRule="auto" w:line="240" w:before="0" w:after="200"/>
    </w:pPr>
    <w:rPr>
      <w:i/>
      <w:iCs/>
      <w:color w:val="44546A" w:themeColor="text2"/>
      <w:sz w:val="18"/>
      <w:szCs w:val="18"/>
    </w:rPr>
  </w:style>
  <w:style w:type="paragraph" w:styleId="ListParagraph">
    <w:name w:val="List Paragraph"/>
    <w:basedOn w:val="Normal"/>
    <w:uiPriority w:val="34"/>
    <w:qFormat/>
    <w:rsid w:val="00c8175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96E3D-5BF2-4D33-857A-13E7EC91A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Application>LibreOffice/7.2.5.2$Windows_X86_64 LibreOffice_project/499f9727c189e6ef3471021d6132d4c694f357e5</Application>
  <AppVersion>15.0000</AppVersion>
  <Pages>6</Pages>
  <Words>810</Words>
  <Characters>4459</Characters>
  <CharactersWithSpaces>5182</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2018-10-08T20:28:00Z</dcterms:created>
  <dc:creator>Connor Martin</dc:creator>
  <dc:description/>
  <dc:language>en-US</dc:language>
  <cp:lastModifiedBy/>
  <dcterms:modified xsi:type="dcterms:W3CDTF">2023-07-16T08:11:40Z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