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CCA39" w14:textId="33BC473D" w:rsidR="00C9352F" w:rsidRDefault="645F2F56" w:rsidP="645F2F56">
      <w:pPr>
        <w:rPr>
          <w:b/>
          <w:bCs/>
          <w:sz w:val="28"/>
          <w:szCs w:val="28"/>
        </w:rPr>
      </w:pPr>
      <w:r w:rsidRPr="645F2F56">
        <w:rPr>
          <w:b/>
          <w:bCs/>
          <w:sz w:val="28"/>
          <w:szCs w:val="28"/>
        </w:rPr>
        <w:t xml:space="preserve">Do blood biomarkers predict prognosis in </w:t>
      </w:r>
      <w:r w:rsidRPr="645F2F56">
        <w:rPr>
          <w:b/>
          <w:bCs/>
          <w:sz w:val="28"/>
          <w:szCs w:val="28"/>
        </w:rPr>
        <w:t>COVID</w:t>
      </w:r>
      <w:r w:rsidRPr="645F2F56">
        <w:rPr>
          <w:b/>
          <w:bCs/>
          <w:sz w:val="28"/>
          <w:szCs w:val="28"/>
        </w:rPr>
        <w:t>-19 infection?</w:t>
      </w:r>
    </w:p>
    <w:p w14:paraId="1AF49FA4" w14:textId="77A2EA86" w:rsidR="006777E4" w:rsidRPr="006777E4" w:rsidRDefault="006777E4">
      <w:pPr>
        <w:rPr>
          <w:sz w:val="24"/>
          <w:szCs w:val="24"/>
        </w:rPr>
      </w:pPr>
      <w:r>
        <w:rPr>
          <w:sz w:val="24"/>
          <w:szCs w:val="24"/>
        </w:rPr>
        <w:t xml:space="preserve">Authors: </w:t>
      </w:r>
      <w:r w:rsidRPr="006777E4">
        <w:rPr>
          <w:sz w:val="24"/>
          <w:szCs w:val="24"/>
        </w:rPr>
        <w:t>Joe Lee, Phil Turner, Tom Fanshawe, Brian Nicholson, Nia Roberts</w:t>
      </w:r>
    </w:p>
    <w:p w14:paraId="0AC6C1AE" w14:textId="5CD47A95" w:rsidR="00540BAA" w:rsidRDefault="005A673A">
      <w:r>
        <w:t>Protocol for</w:t>
      </w:r>
      <w:r w:rsidR="006777E4">
        <w:t xml:space="preserve"> </w:t>
      </w:r>
      <w:r w:rsidR="0033660E">
        <w:t>systematic review</w:t>
      </w:r>
      <w:r>
        <w:t>.</w:t>
      </w:r>
    </w:p>
    <w:p w14:paraId="6B0EE9E6" w14:textId="76175B11" w:rsidR="001E6A65" w:rsidRDefault="00540BAA">
      <w:r>
        <w:t>Background: Most people with COVID-19 infection have mild, self-limiting disease. Identifying people who are</w:t>
      </w:r>
      <w:r w:rsidR="00E75BB8">
        <w:t xml:space="preserve"> currently well but</w:t>
      </w:r>
      <w:r>
        <w:t xml:space="preserve"> likely to go on to develop severe disease is clinically important</w:t>
      </w:r>
      <w:r w:rsidR="00E75BB8">
        <w:t>. Some b</w:t>
      </w:r>
      <w:r>
        <w:t xml:space="preserve">lood biomarkers </w:t>
      </w:r>
      <w:r w:rsidR="00E75BB8">
        <w:t>are different</w:t>
      </w:r>
      <w:r>
        <w:t xml:space="preserve"> in </w:t>
      </w:r>
      <w:r w:rsidR="00E75BB8">
        <w:t xml:space="preserve">people with severe disease compared to those with mild disease, </w:t>
      </w:r>
      <w:r>
        <w:t xml:space="preserve">but it is not clear if they </w:t>
      </w:r>
      <w:r w:rsidR="00E75BB8">
        <w:t>can be used to predict deterioration</w:t>
      </w:r>
      <w:r>
        <w:t xml:space="preserve">. We therefore </w:t>
      </w:r>
      <w:r w:rsidR="00E75BB8">
        <w:t>plan</w:t>
      </w:r>
      <w:r>
        <w:t xml:space="preserve"> a review of the current evidence</w:t>
      </w:r>
      <w:r w:rsidR="005A1739">
        <w:t xml:space="preserve"> to iden</w:t>
      </w:r>
      <w:r w:rsidR="00E75BB8">
        <w:t xml:space="preserve">tify published information about </w:t>
      </w:r>
      <w:r w:rsidR="005A1739">
        <w:t>how</w:t>
      </w:r>
      <w:r w:rsidR="00E75BB8">
        <w:t xml:space="preserve"> clinicians can use</w:t>
      </w:r>
      <w:r w:rsidR="005A1739">
        <w:t xml:space="preserve"> </w:t>
      </w:r>
      <w:r w:rsidR="00E75BB8">
        <w:t xml:space="preserve">blood </w:t>
      </w:r>
      <w:r w:rsidR="005A1739">
        <w:t xml:space="preserve">biomarkers </w:t>
      </w:r>
      <w:r w:rsidR="00E75BB8">
        <w:t>to inform</w:t>
      </w:r>
      <w:r w:rsidR="005A1739">
        <w:t xml:space="preserve"> prognosis</w:t>
      </w:r>
      <w:r w:rsidR="001E6A65">
        <w:t>.</w:t>
      </w:r>
    </w:p>
    <w:p w14:paraId="36301F28" w14:textId="77777777" w:rsidR="00540BAA" w:rsidRDefault="005A1739">
      <w:r>
        <w:t>Structured question:</w:t>
      </w:r>
    </w:p>
    <w:p w14:paraId="6F280C15" w14:textId="5905B24B" w:rsidR="00540BAA" w:rsidRDefault="645F2F56">
      <w:r>
        <w:t xml:space="preserve">Population: Adults (&gt;16 years) infected with </w:t>
      </w:r>
      <w:r>
        <w:t>COVID</w:t>
      </w:r>
      <w:r>
        <w:t>-19</w:t>
      </w:r>
    </w:p>
    <w:p w14:paraId="6E647790" w14:textId="726D0900" w:rsidR="00540BAA" w:rsidRDefault="645F2F56">
      <w:r>
        <w:t xml:space="preserve">Tests of interest: Blood biomarkers, including but not limited to CRP, D-Dimer, Full </w:t>
      </w:r>
      <w:r>
        <w:t>B</w:t>
      </w:r>
      <w:r>
        <w:t xml:space="preserve">ood </w:t>
      </w:r>
      <w:r>
        <w:t>C</w:t>
      </w:r>
      <w:r>
        <w:t xml:space="preserve">ount, biochemistry. </w:t>
      </w:r>
    </w:p>
    <w:p w14:paraId="1F4BCBEC" w14:textId="5BFF3B29" w:rsidR="005A1739" w:rsidRDefault="645F2F56">
      <w:r>
        <w:t xml:space="preserve">Timing/flow: </w:t>
      </w:r>
      <w:r>
        <w:t>B</w:t>
      </w:r>
      <w:r>
        <w:t>iomarkers measured before the onset of severe disease, or longitudinal data starting before severe disease, or analyses taking into account severity of disease at measurement</w:t>
      </w:r>
    </w:p>
    <w:p w14:paraId="39DAD2E9" w14:textId="77777777" w:rsidR="00540BAA" w:rsidRDefault="00540BAA">
      <w:r>
        <w:t>Excluded tests: Radiology</w:t>
      </w:r>
      <w:r w:rsidR="00E75BB8">
        <w:t xml:space="preserve"> (e.g. CT)</w:t>
      </w:r>
      <w:r>
        <w:t>, markers in other media (e.g. cerebro-spinal fluid), observations (e.g. blood pressure)</w:t>
      </w:r>
    </w:p>
    <w:p w14:paraId="1AD9F4A3" w14:textId="4A6B86A3" w:rsidR="005A1739" w:rsidRDefault="645F2F56">
      <w:r>
        <w:t xml:space="preserve">Outcomes of interest: Disease progression or deterioration, prediction of mild disease </w:t>
      </w:r>
      <w:r>
        <w:t>v</w:t>
      </w:r>
      <w:r>
        <w:t xml:space="preserve">s severe disease. Severe disease including published clinical scores for severity, intensive/critical care admission. ARDS, requirement for mechanical ventilation, supplementary Oxygen, hospital admission for treatment (recognising some admissions were for </w:t>
      </w:r>
      <w:r w:rsidR="00FE4E7B">
        <w:t xml:space="preserve">infection control purposes </w:t>
      </w:r>
      <w:r>
        <w:t xml:space="preserve">rather than the need for further healthcare) and death. </w:t>
      </w:r>
    </w:p>
    <w:p w14:paraId="6C984663" w14:textId="26A8FEC1" w:rsidR="00F2511E" w:rsidRDefault="00F2511E">
      <w:r>
        <w:t xml:space="preserve">Study types excluded: Studies of biomarkers associations with severe disease, but without prognostic information, e.g. not taking into account different severity of disease at the time biomarkers were measured. Studies of biomarkers during recovery. </w:t>
      </w:r>
    </w:p>
    <w:p w14:paraId="368AC956" w14:textId="2AA1666D" w:rsidR="00F50514" w:rsidRDefault="00F50514">
      <w:r>
        <w:t xml:space="preserve">Screening: </w:t>
      </w:r>
      <w:r w:rsidR="006777E4">
        <w:t>Single</w:t>
      </w:r>
      <w:r>
        <w:t xml:space="preserve"> screenin</w:t>
      </w:r>
      <w:r w:rsidR="006777E4">
        <w:t>g at the abstract and title stage</w:t>
      </w:r>
      <w:r w:rsidR="002E04ED">
        <w:t>, with double screening for studies where inclusion/exclusion is not immediately clear</w:t>
      </w:r>
      <w:r w:rsidR="00B16B5F">
        <w:t xml:space="preserve"> to the screener</w:t>
      </w:r>
    </w:p>
    <w:p w14:paraId="055AC3F5" w14:textId="4ACB8844" w:rsidR="00F50514" w:rsidRDefault="645F2F56">
      <w:r>
        <w:t xml:space="preserve">Data extraction: single extraction, using a modified CHARMS checklist including </w:t>
      </w:r>
      <w:r>
        <w:t>r</w:t>
      </w:r>
      <w:r>
        <w:t>eference</w:t>
      </w:r>
      <w:r>
        <w:t xml:space="preserve"> standard</w:t>
      </w:r>
      <w:r>
        <w:t xml:space="preserve">, participants, outcomes, predictors, sample size, </w:t>
      </w:r>
      <w:r>
        <w:t>m</w:t>
      </w:r>
      <w:r>
        <w:t xml:space="preserve">issing data, model development, performance and validation, results: </w:t>
      </w:r>
      <w:hyperlink r:id="rId4">
        <w:r w:rsidRPr="645F2F56">
          <w:rPr>
            <w:rStyle w:val="Hyperlink"/>
          </w:rPr>
          <w:t>https://methods.cochrane.org/sites/methods.cochrane.org.prognosis/files/public/uploads/CHARMS%20checklist.pdf</w:t>
        </w:r>
      </w:hyperlink>
    </w:p>
    <w:p w14:paraId="061C4E12" w14:textId="53B36A59" w:rsidR="002A4E1D" w:rsidRDefault="645F2F56">
      <w:r>
        <w:t>Bias assessment: We will assess the risk of bias of included studies with the QUIPS Tool</w:t>
      </w:r>
      <w:r>
        <w:t xml:space="preserve"> </w:t>
      </w:r>
      <w:r>
        <w:t>(</w:t>
      </w:r>
      <w:r>
        <w:t>p</w:t>
      </w:r>
      <w:bookmarkStart w:id="0" w:name="_GoBack"/>
      <w:bookmarkEnd w:id="0"/>
      <w:r>
        <w:t>articipation, attrition, prediction measures, outcome measures, confounding and analysis/reporting) (</w:t>
      </w:r>
      <w:hyperlink r:id="rId5">
        <w:r w:rsidRPr="645F2F56">
          <w:rPr>
            <w:rStyle w:val="Hyperlink"/>
          </w:rPr>
          <w:t>https://annals.org/aim/fullarticle/1650776/assessing-bias-studies-prognostic-factors</w:t>
        </w:r>
      </w:hyperlink>
      <w:r>
        <w:t>)</w:t>
      </w:r>
    </w:p>
    <w:p w14:paraId="1A955954" w14:textId="47B85C07" w:rsidR="00624346" w:rsidRDefault="002A4E1D">
      <w:r>
        <w:t xml:space="preserve">Data </w:t>
      </w:r>
      <w:r w:rsidR="005C7743">
        <w:t>synthesis</w:t>
      </w:r>
      <w:r>
        <w:t>:</w:t>
      </w:r>
      <w:r w:rsidR="00566FD6">
        <w:t xml:space="preserve"> </w:t>
      </w:r>
      <w:r w:rsidR="0033660E">
        <w:t xml:space="preserve">We will use random effects meta-analysis to pool results from studies reporting similar outcomes. We will use methods appropriate for the type of measure reported (e.g. for continuous or binary effect size measures) and report these in separate subgroups if different variable types cannot be pooled together. </w:t>
      </w:r>
      <w:r w:rsidR="006777E4">
        <w:t>We will tabulate and summarise narratively r</w:t>
      </w:r>
      <w:r w:rsidR="0033660E">
        <w:t xml:space="preserve">esults of </w:t>
      </w:r>
      <w:r w:rsidR="0033660E">
        <w:lastRenderedPageBreak/>
        <w:t>studies that are highly heterogeneous in outcomes or effect size measures, unsuitable for pooling, or not reported in sufficient</w:t>
      </w:r>
      <w:r w:rsidR="006777E4">
        <w:t xml:space="preserve"> detail to allow meta-analysis. </w:t>
      </w:r>
    </w:p>
    <w:p w14:paraId="55C58E5F" w14:textId="77777777" w:rsidR="00F2511E" w:rsidRDefault="00F2511E"/>
    <w:p w14:paraId="5934C9D4" w14:textId="16F3ACF4" w:rsidR="00624346" w:rsidRDefault="00624346">
      <w:r>
        <w:t>Dissemination:</w:t>
      </w:r>
      <w:r w:rsidR="00F2511E">
        <w:t xml:space="preserve"> </w:t>
      </w:r>
      <w:r>
        <w:t>Via CEBM website</w:t>
      </w:r>
    </w:p>
    <w:sectPr w:rsidR="00624346">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A6BB6E" w16cex:dateUtc="2020-04-07T15:05:43.399Z"/>
</w16cex:commentsExtensible>
</file>

<file path=word/commentsIds.xml><?xml version="1.0" encoding="utf-8"?>
<w16cid:commentsIds xmlns:mc="http://schemas.openxmlformats.org/markup-compatibility/2006" xmlns:w16cid="http://schemas.microsoft.com/office/word/2016/wordml/cid" mc:Ignorable="w16cid">
  <w16cid:commentId w16cid:paraId="11F09D65" w16cid:durableId="0DA6BB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BAA"/>
    <w:rsid w:val="00012DA7"/>
    <w:rsid w:val="00017334"/>
    <w:rsid w:val="001A3FD2"/>
    <w:rsid w:val="001E6A65"/>
    <w:rsid w:val="002A4E1D"/>
    <w:rsid w:val="002E04ED"/>
    <w:rsid w:val="0033660E"/>
    <w:rsid w:val="003670EB"/>
    <w:rsid w:val="003D296A"/>
    <w:rsid w:val="00400C08"/>
    <w:rsid w:val="00540BAA"/>
    <w:rsid w:val="00557931"/>
    <w:rsid w:val="00561DB5"/>
    <w:rsid w:val="00566FD6"/>
    <w:rsid w:val="005A1739"/>
    <w:rsid w:val="005A673A"/>
    <w:rsid w:val="005C7743"/>
    <w:rsid w:val="005F2E58"/>
    <w:rsid w:val="005F7069"/>
    <w:rsid w:val="00624346"/>
    <w:rsid w:val="00627FF4"/>
    <w:rsid w:val="006777E4"/>
    <w:rsid w:val="00801F6F"/>
    <w:rsid w:val="00AB74D1"/>
    <w:rsid w:val="00B16B5F"/>
    <w:rsid w:val="00BC6183"/>
    <w:rsid w:val="00DD1341"/>
    <w:rsid w:val="00E42B96"/>
    <w:rsid w:val="00E75BB8"/>
    <w:rsid w:val="00F20E5B"/>
    <w:rsid w:val="00F2511E"/>
    <w:rsid w:val="00F50514"/>
    <w:rsid w:val="00F8624E"/>
    <w:rsid w:val="00FB3933"/>
    <w:rsid w:val="00FE4E7B"/>
    <w:rsid w:val="645F2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B508"/>
  <w15:chartTrackingRefBased/>
  <w15:docId w15:val="{035150DF-7253-42CF-AF0A-646EAD42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5BB8"/>
    <w:rPr>
      <w:color w:val="0000FF"/>
      <w:u w:val="single"/>
    </w:rPr>
  </w:style>
  <w:style w:type="character" w:styleId="Emphasis">
    <w:name w:val="Emphasis"/>
    <w:basedOn w:val="DefaultParagraphFont"/>
    <w:uiPriority w:val="20"/>
    <w:qFormat/>
    <w:rsid w:val="00017334"/>
    <w:rPr>
      <w:i/>
      <w:iCs/>
    </w:rPr>
  </w:style>
  <w:style w:type="character" w:styleId="CommentReference">
    <w:name w:val="annotation reference"/>
    <w:basedOn w:val="DefaultParagraphFont"/>
    <w:uiPriority w:val="99"/>
    <w:semiHidden/>
    <w:unhideWhenUsed/>
    <w:rsid w:val="00AB74D1"/>
    <w:rPr>
      <w:sz w:val="16"/>
      <w:szCs w:val="16"/>
    </w:rPr>
  </w:style>
  <w:style w:type="paragraph" w:styleId="CommentText">
    <w:name w:val="annotation text"/>
    <w:basedOn w:val="Normal"/>
    <w:link w:val="CommentTextChar"/>
    <w:uiPriority w:val="99"/>
    <w:semiHidden/>
    <w:unhideWhenUsed/>
    <w:rsid w:val="00AB74D1"/>
    <w:pPr>
      <w:spacing w:line="240" w:lineRule="auto"/>
    </w:pPr>
    <w:rPr>
      <w:sz w:val="20"/>
      <w:szCs w:val="20"/>
    </w:rPr>
  </w:style>
  <w:style w:type="character" w:customStyle="1" w:styleId="CommentTextChar">
    <w:name w:val="Comment Text Char"/>
    <w:basedOn w:val="DefaultParagraphFont"/>
    <w:link w:val="CommentText"/>
    <w:uiPriority w:val="99"/>
    <w:semiHidden/>
    <w:rsid w:val="00AB74D1"/>
    <w:rPr>
      <w:sz w:val="20"/>
      <w:szCs w:val="20"/>
    </w:rPr>
  </w:style>
  <w:style w:type="paragraph" w:styleId="CommentSubject">
    <w:name w:val="annotation subject"/>
    <w:basedOn w:val="CommentText"/>
    <w:next w:val="CommentText"/>
    <w:link w:val="CommentSubjectChar"/>
    <w:uiPriority w:val="99"/>
    <w:semiHidden/>
    <w:unhideWhenUsed/>
    <w:rsid w:val="00AB74D1"/>
    <w:rPr>
      <w:b/>
      <w:bCs/>
    </w:rPr>
  </w:style>
  <w:style w:type="character" w:customStyle="1" w:styleId="CommentSubjectChar">
    <w:name w:val="Comment Subject Char"/>
    <w:basedOn w:val="CommentTextChar"/>
    <w:link w:val="CommentSubject"/>
    <w:uiPriority w:val="99"/>
    <w:semiHidden/>
    <w:rsid w:val="00AB74D1"/>
    <w:rPr>
      <w:b/>
      <w:bCs/>
      <w:sz w:val="20"/>
      <w:szCs w:val="20"/>
    </w:rPr>
  </w:style>
  <w:style w:type="paragraph" w:styleId="BalloonText">
    <w:name w:val="Balloon Text"/>
    <w:basedOn w:val="Normal"/>
    <w:link w:val="BalloonTextChar"/>
    <w:uiPriority w:val="99"/>
    <w:semiHidden/>
    <w:unhideWhenUsed/>
    <w:rsid w:val="00AB7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4D1"/>
    <w:rPr>
      <w:rFonts w:ascii="Segoe UI" w:hAnsi="Segoe UI" w:cs="Segoe UI"/>
      <w:sz w:val="18"/>
      <w:szCs w:val="18"/>
    </w:rPr>
  </w:style>
  <w:style w:type="character" w:styleId="FollowedHyperlink">
    <w:name w:val="FollowedHyperlink"/>
    <w:basedOn w:val="DefaultParagraphFont"/>
    <w:uiPriority w:val="99"/>
    <w:semiHidden/>
    <w:unhideWhenUsed/>
    <w:rsid w:val="00AB74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75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nals.org/aim/fullarticle/1650776/assessing-bias-studies-prognostic-factors" TargetMode="External"/><Relationship Id="Rc34899eeb7674029" Type="http://schemas.microsoft.com/office/2018/08/relationships/commentsExtensible" Target="commentsExtensible.xml"/><Relationship Id="rId4" Type="http://schemas.openxmlformats.org/officeDocument/2006/relationships/hyperlink" Target="https://methods.cochrane.org/sites/methods.cochrane.org.prognosis/files/public/uploads/CHARMS%20checklist.pdf" TargetMode="External"/><Relationship Id="R8c57f141100f4a5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Lee</dc:creator>
  <cp:keywords/>
  <dc:description/>
  <cp:lastModifiedBy>Joseph Lee</cp:lastModifiedBy>
  <cp:revision>2</cp:revision>
  <dcterms:created xsi:type="dcterms:W3CDTF">2020-04-08T12:11:00Z</dcterms:created>
  <dcterms:modified xsi:type="dcterms:W3CDTF">2020-04-08T12:11:00Z</dcterms:modified>
</cp:coreProperties>
</file>