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00000"/>
          <w:sz w:val="42"/>
        </w:rPr>
        <w:t>Abschlussaufgabe Sportfest mit Wissensstationen</w:t>
      </w:r>
    </w:p>
    <w:p>
      <w:pPr>
        <w:spacing w:after="40"/>
      </w:pPr>
      <w:r>
        <w:rPr>
          <w:rFonts w:ascii="Arial" w:hAnsi="Arial"/>
          <w:i/>
          <w:color w:val="333333"/>
          <w:sz w:val="24"/>
        </w:rPr>
        <w:t>Konzeption einer fächerverbindenden Station</w:t>
      </w:r>
    </w:p>
    <w:p>
      <w:pPr>
        <w:spacing w:after="240"/>
      </w:pPr>
      <w:r>
        <w:rPr>
          <w:rFonts w:ascii="Arial" w:hAnsi="Arial"/>
          <w:color w:val="666666"/>
          <w:sz w:val="19"/>
        </w:rPr>
        <w:t>Kompaktseminar Vom Bewegungssehen zum Modell</w:t>
      </w:r>
    </w:p>
    <w:p>
      <w:pPr>
        <w:pStyle w:val="Heading1"/>
      </w:pPr>
      <w:r>
        <w:rPr>
          <w:rFonts w:ascii="Arial" w:hAnsi="Arial"/>
          <w:b/>
          <w:color w:val="0F4761"/>
          <w:sz w:val="28"/>
        </w:rPr>
        <w:t>Ausgangslage und Ziel</w:t>
      </w:r>
    </w:p>
    <w:p>
      <w:pPr/>
      <w:r>
        <w:rPr>
          <w:rFonts w:ascii="Arial" w:hAnsi="Arial"/>
          <w:color w:val="1F1F1F"/>
          <w:sz w:val="21"/>
        </w:rPr>
        <w:t>Sportfeste enthalten unvermeidbare Wartezeiten. Diese Zeiten sollen als Lerngelegenheiten genutzt werden. Aus dem traditionellen Sportleistungsfest entsteht ein Fach-Happening, das sportliches Handeln, fachliche Erkenntnis und gemeinsame Ergebnisdarstellung verbindet.</w:t>
      </w:r>
    </w:p>
    <w:p>
      <w:pPr/>
      <w:r>
        <w:rPr>
          <w:rFonts w:ascii="Arial" w:hAnsi="Arial"/>
          <w:color w:val="1F1F1F"/>
          <w:sz w:val="21"/>
        </w:rPr>
        <w:t>Die Abschlussaufgabe überträgt den Erkenntnisweg des Seminars in eine schulische Veranstaltung: Eine eigene Bewegung oder Handlung wird beobachtet, gemessen oder gestaltet, in Daten oder Modelle überführt, fachlich gedeutet und in einem verständlichen Ergebnis sichtbar gemacht.</w:t>
      </w:r>
    </w:p>
    <w:p>
      <w:pPr>
        <w:pStyle w:val="Heading1"/>
      </w:pPr>
      <w:r>
        <w:rPr>
          <w:rFonts w:ascii="Arial" w:hAnsi="Arial"/>
          <w:b/>
          <w:color w:val="0F4761"/>
          <w:sz w:val="28"/>
        </w:rPr>
        <w:t>Arbeitsauftrag</w:t>
      </w:r>
    </w:p>
    <w:p>
      <w:pPr/>
      <w:r>
        <w:rPr>
          <w:rFonts w:ascii="Arial" w:hAnsi="Arial"/>
          <w:color w:val="1F1F1F"/>
          <w:sz w:val="21"/>
        </w:rPr>
        <w:t>Entwickeln Sie ein fachlich begründetes und praktisch durchführbares Konzept für eine Wissensstation, die parallel zu einem schulischen Sportfest angeboten werden kann. Legen Sie eine konkrete Schulform, Jahrgangsstufe und Veranstaltungssituation zugrunde.</w:t>
      </w:r>
    </w:p>
    <w:p>
      <w:pPr/>
      <w:r>
        <w:rPr>
          <w:rFonts w:ascii="Arial" w:hAnsi="Arial"/>
          <w:color w:val="1F1F1F"/>
          <w:sz w:val="21"/>
        </w:rPr>
        <w:t>Die Station verbindet Sport mit mindestens einem weiteren Unterrichtsfach. Der Beitrag jedes beteiligten Faches muss für die Bearbeitung der Leitfrage notwendig sein. Eine reine Quiz-, Informations- oder Unterhaltungsstation erfüllt diesen Anspruch nicht.</w:t>
      </w:r>
    </w:p>
    <w:p>
      <w:pPr>
        <w:spacing w:after="80"/>
        <w:ind w:left="425" w:hanging="425"/>
      </w:pPr>
      <w:r>
        <w:rPr>
          <w:rFonts w:ascii="Arial" w:hAnsi="Arial"/>
          <w:b/>
          <w:color w:val="0F4761"/>
          <w:sz w:val="21"/>
        </w:rPr>
        <w:t xml:space="preserve">1. Bewegungs- oder Handlungssituation. </w:t>
      </w:r>
      <w:r>
        <w:rPr>
          <w:rFonts w:ascii="Arial" w:hAnsi="Arial"/>
          <w:color w:val="1F1F1F"/>
          <w:sz w:val="21"/>
        </w:rPr>
        <w:t>Die Lernenden führen eine Bewegung aus, untersuchen eine sportbezogene Situation oder bearbeiten eine reale organisatorische Frage des Sportfestes.</w:t>
      </w:r>
    </w:p>
    <w:p>
      <w:pPr>
        <w:spacing w:after="80"/>
        <w:ind w:left="425" w:hanging="425"/>
      </w:pPr>
      <w:r>
        <w:rPr>
          <w:rFonts w:ascii="Arial" w:hAnsi="Arial"/>
          <w:b/>
          <w:color w:val="0F4761"/>
          <w:sz w:val="21"/>
        </w:rPr>
        <w:t xml:space="preserve">2. Erkenntnisaufgabe. </w:t>
      </w:r>
      <w:r>
        <w:rPr>
          <w:rFonts w:ascii="Arial" w:hAnsi="Arial"/>
          <w:color w:val="1F1F1F"/>
          <w:sz w:val="21"/>
        </w:rPr>
        <w:t>Die Lernenden beobachten, messen, vergleichen, modellieren, gestalten oder beurteilen und gelangen zu einer fachlich begründeten Aussage.</w:t>
      </w:r>
    </w:p>
    <w:p>
      <w:pPr>
        <w:spacing w:after="80"/>
        <w:ind w:left="425" w:hanging="425"/>
      </w:pPr>
      <w:r>
        <w:rPr>
          <w:rFonts w:ascii="Arial" w:hAnsi="Arial"/>
          <w:b/>
          <w:color w:val="0F4761"/>
          <w:sz w:val="21"/>
        </w:rPr>
        <w:t xml:space="preserve">3. Sichtbares Ergebnis. </w:t>
      </w:r>
      <w:r>
        <w:rPr>
          <w:rFonts w:ascii="Arial" w:hAnsi="Arial"/>
          <w:color w:val="1F1F1F"/>
          <w:sz w:val="21"/>
        </w:rPr>
        <w:t>Die Station führt zu einem überprüfbaren Produkt, etwa einem Messwert, Diagramm, Modell, Erklärtext, Bild, Regelvorschlag oder begründeten Urteil.</w:t>
      </w:r>
    </w:p>
    <w:p>
      <w:pPr>
        <w:pStyle w:val="Heading1"/>
      </w:pPr>
      <w:r>
        <w:rPr>
          <w:rFonts w:ascii="Arial" w:hAnsi="Arial"/>
          <w:b/>
          <w:color w:val="0F4761"/>
          <w:sz w:val="28"/>
        </w:rPr>
        <w:t>Planungsrahmen</w:t>
      </w:r>
    </w:p>
    <w:p>
      <w:pPr/>
      <w:r>
        <w:rPr>
          <w:rFonts w:ascii="Arial" w:hAnsi="Arial"/>
          <w:color w:val="1F1F1F"/>
          <w:sz w:val="21"/>
        </w:rPr>
        <w:t>Verwenden Sie die folgenden Bedingungen als Standardszenario. Abweichungen sind möglich, müssen aber aus dem gewählten Schulkontext begründet werden.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28"/>
        <w:gridCol w:w="7257"/>
      </w:tblGrid>
      <w:tr>
        <w:trPr>
          <w:tblHeader w:val="true"/>
        </w:trPr>
        <w:tc>
          <w:tcPr>
            <w:tcW w:type="dxa" w:w="4706"/>
            <w:vAlign w:val="center"/>
            <w:tcMar>
              <w:top w:w="90" w:type="dxa"/>
              <w:start w:w="110" w:type="dxa"/>
              <w:bottom w:w="90" w:type="dxa"/>
              <w:end w:w="110" w:type="dxa"/>
            </w:tcMar>
            <w:shd w:fill="0F4761"/>
          </w:tcPr>
          <w:p>
            <w:pPr>
              <w:spacing w:before="0" w:after="0" w:line="252" w:lineRule="auto"/>
              <w:jc w:val="left"/>
            </w:pPr>
            <w:r/>
            <w:r>
              <w:rPr>
                <w:rFonts w:ascii="Arial" w:hAnsi="Arial"/>
                <w:b/>
                <w:color w:val="FFFFFF"/>
                <w:sz w:val="19"/>
              </w:rPr>
              <w:t>Aspekt</w:t>
            </w:r>
          </w:p>
        </w:tc>
        <w:tc>
          <w:tcPr>
            <w:tcW w:type="dxa" w:w="4706"/>
            <w:vAlign w:val="center"/>
            <w:tcMar>
              <w:top w:w="90" w:type="dxa"/>
              <w:start w:w="110" w:type="dxa"/>
              <w:bottom w:w="90" w:type="dxa"/>
              <w:end w:w="110" w:type="dxa"/>
            </w:tcMar>
            <w:shd w:fill="0F4761"/>
          </w:tcPr>
          <w:p>
            <w:pPr>
              <w:spacing w:before="0" w:after="0" w:line="252" w:lineRule="auto"/>
              <w:jc w:val="left"/>
            </w:pPr>
            <w:r/>
            <w:r>
              <w:rPr>
                <w:rFonts w:ascii="Arial" w:hAnsi="Arial"/>
                <w:b/>
                <w:color w:val="FFFFFF"/>
                <w:sz w:val="19"/>
              </w:rPr>
              <w:t>Vorgabe</w:t>
            </w:r>
          </w:p>
        </w:tc>
      </w:tr>
      <w:tr>
        <w:tc>
          <w:tcPr>
            <w:tcW w:type="dxa" w:w="1928"/>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Zielgruppe</w:t>
            </w:r>
          </w:p>
        </w:tc>
        <w:tc>
          <w:tcPr>
            <w:tcW w:type="dxa" w:w="7257"/>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Schulform und Jahrgangsstufe werden konkret benannt.</w:t>
            </w:r>
          </w:p>
        </w:tc>
      </w:tr>
      <w:tr>
        <w:tc>
          <w:tcPr>
            <w:tcW w:type="dxa" w:w="1928"/>
            <w:shd w:fill="EAF2F7"/>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Gruppengröße</w:t>
            </w:r>
          </w:p>
        </w:tc>
        <w:tc>
          <w:tcPr>
            <w:tcW w:type="dxa" w:w="7257"/>
            <w:shd w:fill="EAF2F7"/>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Vier bis acht Schülerinnen und Schüler arbeiten gleichzeitig an der Station.</w:t>
            </w:r>
          </w:p>
        </w:tc>
      </w:tr>
      <w:tr>
        <w:tc>
          <w:tcPr>
            <w:tcW w:type="dxa" w:w="1928"/>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Bearbeitungszeit</w:t>
            </w:r>
          </w:p>
        </w:tc>
        <w:tc>
          <w:tcPr>
            <w:tcW w:type="dxa" w:w="7257"/>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Ein Durchlauf dauert etwa 10 bis 15 Minuten.</w:t>
            </w:r>
          </w:p>
        </w:tc>
      </w:tr>
      <w:tr>
        <w:tc>
          <w:tcPr>
            <w:tcW w:type="dxa" w:w="1928"/>
            <w:shd w:fill="EAF2F7"/>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Betreuung</w:t>
            </w:r>
          </w:p>
        </w:tc>
        <w:tc>
          <w:tcPr>
            <w:tcW w:type="dxa" w:w="7257"/>
            <w:shd w:fill="EAF2F7"/>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Die Station kommt im Regelbetrieb mit höchstens einer betreuenden Person aus.</w:t>
            </w:r>
          </w:p>
        </w:tc>
      </w:tr>
      <w:tr>
        <w:tc>
          <w:tcPr>
            <w:tcW w:type="dxa" w:w="1928"/>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Betrieb</w:t>
            </w:r>
          </w:p>
        </w:tc>
        <w:tc>
          <w:tcPr>
            <w:tcW w:type="dxa" w:w="7257"/>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Mehrere Gruppen können die Station nacheinander nutzen; Aufbau und Rückstellung sind mitgedacht.</w:t>
            </w:r>
          </w:p>
        </w:tc>
      </w:tr>
      <w:tr>
        <w:tc>
          <w:tcPr>
            <w:tcW w:type="dxa" w:w="1928"/>
            <w:shd w:fill="EAF2F7"/>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Ausstattung</w:t>
            </w:r>
          </w:p>
        </w:tc>
        <w:tc>
          <w:tcPr>
            <w:tcW w:type="dxa" w:w="7257"/>
            <w:shd w:fill="EAF2F7"/>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Benötigt werden schulnah verfügbare Materialien. Für digitale Technik gibt es eine einfache Offline- oder Analoglösung.</w:t>
            </w:r>
          </w:p>
        </w:tc>
      </w:tr>
    </w:tbl>
    <w:p>
      <w:pPr>
        <w:pStyle w:val="Heading1"/>
      </w:pPr>
      <w:r>
        <w:rPr>
          <w:rFonts w:ascii="Arial" w:hAnsi="Arial"/>
          <w:b/>
          <w:color w:val="0F4761"/>
          <w:sz w:val="28"/>
        </w:rPr>
        <w:t>Verbindliche Inhalte des Konzepts</w:t>
      </w:r>
    </w:p>
    <w:p>
      <w:pPr>
        <w:pStyle w:val="ListBullet"/>
        <w:spacing w:after="50"/>
        <w:ind w:left="369" w:hanging="198"/>
      </w:pPr>
      <w:r>
        <w:rPr>
          <w:rFonts w:ascii="Arial" w:hAnsi="Arial"/>
          <w:color w:val="1F1F1F"/>
          <w:sz w:val="20"/>
        </w:rPr>
        <w:t>Ausgangssituation, Zielgruppe und fachlich gehaltvolle Leitfrage</w:t>
      </w:r>
    </w:p>
    <w:p>
      <w:pPr>
        <w:pStyle w:val="ListBullet"/>
        <w:spacing w:after="50"/>
        <w:ind w:left="369" w:hanging="198"/>
      </w:pPr>
      <w:r>
        <w:rPr>
          <w:rFonts w:ascii="Arial" w:hAnsi="Arial"/>
          <w:color w:val="1F1F1F"/>
          <w:sz w:val="20"/>
        </w:rPr>
        <w:t>Lernziele sowie der eigenständige Beitrag jedes beteiligten Faches</w:t>
      </w:r>
    </w:p>
    <w:p>
      <w:pPr>
        <w:pStyle w:val="ListBullet"/>
        <w:spacing w:after="50"/>
        <w:ind w:left="369" w:hanging="198"/>
      </w:pPr>
      <w:r>
        <w:rPr>
          <w:rFonts w:ascii="Arial" w:hAnsi="Arial"/>
          <w:color w:val="1F1F1F"/>
          <w:sz w:val="20"/>
        </w:rPr>
        <w:t>Ablauf vom Ankommen der Gruppe bis zum Abschluss und zur Rückstellung der Station</w:t>
      </w:r>
    </w:p>
    <w:p>
      <w:pPr>
        <w:pStyle w:val="ListBullet"/>
        <w:spacing w:after="50"/>
        <w:ind w:left="369" w:hanging="198"/>
      </w:pPr>
      <w:r>
        <w:rPr>
          <w:rFonts w:ascii="Arial" w:hAnsi="Arial"/>
          <w:color w:val="1F1F1F"/>
          <w:sz w:val="20"/>
        </w:rPr>
        <w:t>Bewegungs- oder Handlungssituation, Erkenntnisaufgabe und sichtbares Ergebnisprodukt</w:t>
      </w:r>
    </w:p>
    <w:p>
      <w:pPr>
        <w:pStyle w:val="ListBullet"/>
        <w:spacing w:after="50"/>
        <w:ind w:left="369" w:hanging="198"/>
      </w:pPr>
      <w:r>
        <w:rPr>
          <w:rFonts w:ascii="Arial" w:hAnsi="Arial"/>
          <w:color w:val="1F1F1F"/>
          <w:sz w:val="20"/>
        </w:rPr>
        <w:t>Material-, Raum-, Zeit- und Personalplanung einschließlich Gruppendurchsatz</w:t>
      </w:r>
    </w:p>
    <w:p>
      <w:pPr>
        <w:pStyle w:val="ListBullet"/>
        <w:spacing w:after="50"/>
        <w:ind w:left="369" w:hanging="198"/>
      </w:pPr>
      <w:r>
        <w:rPr>
          <w:rFonts w:ascii="Arial" w:hAnsi="Arial"/>
          <w:color w:val="1F1F1F"/>
          <w:sz w:val="20"/>
        </w:rPr>
        <w:t>Mess- oder Auswertungsverfahren, verwendete Variablen, Darstellungen oder Modelle</w:t>
      </w:r>
    </w:p>
    <w:p>
      <w:pPr>
        <w:pStyle w:val="ListBullet"/>
        <w:spacing w:after="50"/>
        <w:ind w:left="369" w:hanging="198"/>
      </w:pPr>
      <w:r>
        <w:rPr>
          <w:rFonts w:ascii="Arial" w:hAnsi="Arial"/>
          <w:color w:val="1F1F1F"/>
          <w:sz w:val="20"/>
        </w:rPr>
        <w:t>Umgang mit Messunsicherheit, Modellannahmen und Grenzen der Aussagekraft</w:t>
      </w:r>
    </w:p>
    <w:p>
      <w:pPr>
        <w:pStyle w:val="ListBullet"/>
        <w:spacing w:after="50"/>
        <w:ind w:left="369" w:hanging="198"/>
      </w:pPr>
      <w:r>
        <w:rPr>
          <w:rFonts w:ascii="Arial" w:hAnsi="Arial"/>
          <w:color w:val="1F1F1F"/>
          <w:sz w:val="20"/>
        </w:rPr>
        <w:t>Sicherheit, Inklusion, Differenzierung, Fairness und Datenschutz</w:t>
      </w:r>
    </w:p>
    <w:p>
      <w:pPr>
        <w:pStyle w:val="ListBullet"/>
        <w:spacing w:after="50"/>
        <w:ind w:left="369" w:hanging="198"/>
      </w:pPr>
      <w:r>
        <w:rPr>
          <w:rFonts w:ascii="Arial" w:hAnsi="Arial"/>
          <w:color w:val="1F1F1F"/>
          <w:sz w:val="20"/>
        </w:rPr>
        <w:t>Einfache Ersatzlösung für den Ausfall von Netzwerk, Gerät oder Software</w:t>
      </w:r>
    </w:p>
    <w:p>
      <w:pPr>
        <w:pStyle w:val="ListBullet"/>
        <w:spacing w:after="50"/>
        <w:ind w:left="369" w:hanging="198"/>
      </w:pPr>
      <w:r>
        <w:rPr>
          <w:rFonts w:ascii="Arial" w:hAnsi="Arial"/>
          <w:color w:val="1F1F1F"/>
          <w:sz w:val="20"/>
        </w:rPr>
        <w:t>kurzer Probelauf mit Mitstudierenden oder systematischer Ablaufcheck und daraus abgeleitete Überarbeitung</w:t>
      </w:r>
    </w:p>
    <w:p>
      <w:pPr>
        <w:pStyle w:val="Heading1"/>
      </w:pPr>
      <w:r>
        <w:rPr>
          <w:rFonts w:ascii="Arial" w:hAnsi="Arial"/>
          <w:b/>
          <w:color w:val="0F4761"/>
          <w:sz w:val="28"/>
        </w:rPr>
        <w:t>Leitfragen für die Ausarbeitung</w:t>
      </w:r>
    </w:p>
    <w:p>
      <w:pPr>
        <w:pStyle w:val="ListBullet"/>
        <w:spacing w:after="50"/>
        <w:ind w:left="369" w:hanging="198"/>
      </w:pPr>
      <w:r>
        <w:rPr>
          <w:rFonts w:ascii="Arial" w:hAnsi="Arial"/>
          <w:color w:val="1F1F1F"/>
          <w:sz w:val="20"/>
        </w:rPr>
        <w:t>Welche Frage entsteht unmittelbar aus der sportlichen Handlung oder dem Sportfest?</w:t>
      </w:r>
    </w:p>
    <w:p>
      <w:pPr>
        <w:pStyle w:val="ListBullet"/>
        <w:spacing w:after="50"/>
        <w:ind w:left="369" w:hanging="198"/>
      </w:pPr>
      <w:r>
        <w:rPr>
          <w:rFonts w:ascii="Arial" w:hAnsi="Arial"/>
          <w:color w:val="1F1F1F"/>
          <w:sz w:val="20"/>
        </w:rPr>
        <w:t>Was tun die Schülerinnen und Schüler körperlich oder praktisch?</w:t>
      </w:r>
    </w:p>
    <w:p>
      <w:pPr>
        <w:pStyle w:val="ListBullet"/>
        <w:spacing w:after="50"/>
        <w:ind w:left="369" w:hanging="198"/>
      </w:pPr>
      <w:r>
        <w:rPr>
          <w:rFonts w:ascii="Arial" w:hAnsi="Arial"/>
          <w:color w:val="1F1F1F"/>
          <w:sz w:val="20"/>
        </w:rPr>
        <w:t>Was beobachten, messen, vergleichen, modellieren, gestalten oder beurteilen sie?</w:t>
      </w:r>
    </w:p>
    <w:p>
      <w:pPr>
        <w:pStyle w:val="ListBullet"/>
        <w:spacing w:after="50"/>
        <w:ind w:left="369" w:hanging="198"/>
      </w:pPr>
      <w:r>
        <w:rPr>
          <w:rFonts w:ascii="Arial" w:hAnsi="Arial"/>
          <w:color w:val="1F1F1F"/>
          <w:sz w:val="20"/>
        </w:rPr>
        <w:t>Warum werden die beteiligten Fächer zur Bearbeitung der Frage tatsächlich benötigt?</w:t>
      </w:r>
    </w:p>
    <w:p>
      <w:pPr>
        <w:pStyle w:val="ListBullet"/>
        <w:spacing w:after="50"/>
        <w:ind w:left="369" w:hanging="198"/>
      </w:pPr>
      <w:r>
        <w:rPr>
          <w:rFonts w:ascii="Arial" w:hAnsi="Arial"/>
          <w:color w:val="1F1F1F"/>
          <w:sz w:val="20"/>
        </w:rPr>
        <w:t>Welche fachliche Aussage sollen die Lernenden am Ende begründen können?</w:t>
      </w:r>
    </w:p>
    <w:p>
      <w:pPr>
        <w:pStyle w:val="ListBullet"/>
        <w:spacing w:after="50"/>
        <w:ind w:left="369" w:hanging="198"/>
      </w:pPr>
      <w:r>
        <w:rPr>
          <w:rFonts w:ascii="Arial" w:hAnsi="Arial"/>
          <w:color w:val="1F1F1F"/>
          <w:sz w:val="20"/>
        </w:rPr>
        <w:t>Welches sichtbare Produkt bleibt nach dem Durchlauf bestehen?</w:t>
      </w:r>
    </w:p>
    <w:p>
      <w:pPr>
        <w:pStyle w:val="ListBullet"/>
        <w:spacing w:after="50"/>
        <w:ind w:left="369" w:hanging="198"/>
      </w:pPr>
      <w:r>
        <w:rPr>
          <w:rFonts w:ascii="Arial" w:hAnsi="Arial"/>
          <w:color w:val="1F1F1F"/>
          <w:sz w:val="20"/>
        </w:rPr>
        <w:t>Wie viele Gruppen können die Station in einer Stunde durchlaufen?</w:t>
      </w:r>
    </w:p>
    <w:p>
      <w:pPr>
        <w:pStyle w:val="ListBullet"/>
        <w:spacing w:after="50"/>
        <w:ind w:left="369" w:hanging="198"/>
      </w:pPr>
      <w:r>
        <w:rPr>
          <w:rFonts w:ascii="Arial" w:hAnsi="Arial"/>
          <w:color w:val="1F1F1F"/>
          <w:sz w:val="20"/>
        </w:rPr>
        <w:t>Welche Fehlerquellen und Modellgrenzen müssen angesprochen werden?</w:t>
      </w:r>
    </w:p>
    <w:p>
      <w:pPr>
        <w:pStyle w:val="ListBullet"/>
        <w:spacing w:after="50"/>
        <w:ind w:left="369" w:hanging="198"/>
      </w:pPr>
      <w:r>
        <w:rPr>
          <w:rFonts w:ascii="Arial" w:hAnsi="Arial"/>
          <w:color w:val="1F1F1F"/>
          <w:sz w:val="20"/>
        </w:rPr>
        <w:t>Wie können Lernende mit unterschiedlichen körperlichen und fachlichen Voraussetzungen teilnehmen?</w:t>
      </w:r>
    </w:p>
    <w:p>
      <w:pPr>
        <w:pStyle w:val="ListBullet"/>
        <w:spacing w:after="50"/>
        <w:ind w:left="369" w:hanging="198"/>
      </w:pPr>
      <w:r>
        <w:rPr>
          <w:rFonts w:ascii="Arial" w:hAnsi="Arial"/>
          <w:color w:val="1F1F1F"/>
          <w:sz w:val="20"/>
        </w:rPr>
        <w:t>Woran lässt sich erkennen, ob die Station ihren Zweck erfüllt?</w:t>
      </w:r>
    </w:p>
    <w:p>
      <w:pPr>
        <w:pStyle w:val="Heading1"/>
      </w:pPr>
      <w:r>
        <w:rPr>
          <w:rFonts w:ascii="Arial" w:hAnsi="Arial"/>
          <w:b/>
          <w:color w:val="0F4761"/>
          <w:sz w:val="28"/>
        </w:rPr>
        <w:t>Umfang und Abgabebestandteile</w:t>
      </w:r>
    </w:p>
    <w:p>
      <w:pPr/>
      <w:r>
        <w:rPr>
          <w:rFonts w:ascii="Arial" w:hAnsi="Arial"/>
          <w:color w:val="1F1F1F"/>
          <w:sz w:val="21"/>
        </w:rPr>
        <w:t>Der Haupttext umfasst fünf Seiten im Format A4. Als Orientierungsformat gelten 11 Punkt Schriftgröße, 1,15-facher Zeilenabstand und Seitenränder von etwa 2,5 cm.</w:t>
      </w:r>
    </w:p>
    <w:p>
      <w:pPr/>
      <w:r>
        <w:rPr>
          <w:rFonts w:ascii="Arial" w:hAnsi="Arial"/>
          <w:color w:val="1F1F1F"/>
          <w:sz w:val="21"/>
        </w:rPr>
        <w:t>Nicht auf die fünf Seiten angerechnet werden das Deckblatt, das Literaturverzeichnis und die tabellarische Lehrplananbindung. Die Lehrplananbindung nennt für jedes beteiligte Fach konkrete Kompetenz- oder Inhaltsbereiche und umfasst höchstens zwei Seiten.</w:t>
      </w:r>
    </w:p>
    <w:p>
      <w:pPr/>
      <w:r>
        <w:rPr>
          <w:rFonts w:ascii="Arial" w:hAnsi="Arial"/>
          <w:color w:val="1F1F1F"/>
          <w:sz w:val="21"/>
        </w:rPr>
        <w:t>Materialliste, Ablaufübersicht und die für das Sportfest bestimmte Stationsanweisung gehören zum fünfseitigen Haupttext. Weitere Anhänge können die Darstellung ergänzen, ersetzen aber keine Begründung im Haupttext.</w:t>
      </w:r>
    </w:p>
    <w:p>
      <w:pPr/>
      <w:r>
        <w:rPr>
          <w:rFonts w:ascii="Arial" w:hAnsi="Arial"/>
          <w:color w:val="1F1F1F"/>
          <w:sz w:val="21"/>
        </w:rPr>
        <w:t>Als fachlicher Ausgangspunkt dienen insbesondere die weiteren fächerverbindenden Anschlussmöglichkeiten und das Sportfest mit Wissensstationen im Reader auf den Seiten 194 bis 199.</w:t>
      </w:r>
    </w:p>
    <w:p>
      <w:r>
        <w:br w:type="page"/>
      </w:r>
    </w:p>
    <w:p>
      <w:pPr>
        <w:pStyle w:val="Heading1"/>
      </w:pPr>
      <w:r>
        <w:rPr>
          <w:rFonts w:ascii="Arial" w:hAnsi="Arial"/>
          <w:b/>
          <w:color w:val="0F4761"/>
          <w:sz w:val="28"/>
        </w:rPr>
        <w:t>Erwartungshorizont</w:t>
      </w:r>
    </w:p>
    <w:p>
      <w:pPr/>
      <w:r>
        <w:rPr>
          <w:rFonts w:ascii="Arial" w:hAnsi="Arial"/>
          <w:color w:val="1F1F1F"/>
          <w:sz w:val="21"/>
        </w:rPr>
        <w:t>Der Erwartungshorizont macht die Bewertung transparent. Maßgeblich sind fachliche Schlüssigkeit, der Erkenntnisweg des Seminars und die tatsächliche Nutzbarkeit beim Sportfest. Technische Komplexität ist kein eigenes Qualitätsmerkmal. Eine einfache und nachvollziehbare Lösung kann die volle Punktzahl erreichen.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98"/>
        <w:gridCol w:w="5839"/>
        <w:gridCol w:w="794"/>
        <w:gridCol w:w="907"/>
      </w:tblGrid>
      <w:tr>
        <w:trPr>
          <w:tblHeader w:val="true"/>
        </w:trPr>
        <w:tc>
          <w:tcPr>
            <w:tcW w:type="dxa" w:w="2353"/>
            <w:vAlign w:val="center"/>
            <w:tcMar>
              <w:top w:w="90" w:type="dxa"/>
              <w:start w:w="110" w:type="dxa"/>
              <w:bottom w:w="90" w:type="dxa"/>
              <w:end w:w="110" w:type="dxa"/>
            </w:tcMar>
            <w:shd w:fill="0F4761"/>
          </w:tcPr>
          <w:p>
            <w:pPr>
              <w:spacing w:before="0" w:after="0" w:line="252" w:lineRule="auto"/>
              <w:jc w:val="left"/>
            </w:pPr>
            <w:r/>
            <w:r>
              <w:rPr>
                <w:rFonts w:ascii="Arial" w:hAnsi="Arial"/>
                <w:b/>
                <w:color w:val="FFFFFF"/>
                <w:sz w:val="17"/>
              </w:rPr>
              <w:t>Kriterium</w:t>
            </w:r>
          </w:p>
        </w:tc>
        <w:tc>
          <w:tcPr>
            <w:tcW w:type="dxa" w:w="2353"/>
            <w:vAlign w:val="center"/>
            <w:tcMar>
              <w:top w:w="90" w:type="dxa"/>
              <w:start w:w="110" w:type="dxa"/>
              <w:bottom w:w="90" w:type="dxa"/>
              <w:end w:w="110" w:type="dxa"/>
            </w:tcMar>
            <w:shd w:fill="0F4761"/>
          </w:tcPr>
          <w:p>
            <w:pPr>
              <w:spacing w:before="0" w:after="0" w:line="252" w:lineRule="auto"/>
              <w:jc w:val="left"/>
            </w:pPr>
            <w:r/>
            <w:r>
              <w:rPr>
                <w:rFonts w:ascii="Arial" w:hAnsi="Arial"/>
                <w:b/>
                <w:color w:val="FFFFFF"/>
                <w:sz w:val="17"/>
              </w:rPr>
              <w:t>Erwartete Leistung</w:t>
            </w:r>
          </w:p>
        </w:tc>
        <w:tc>
          <w:tcPr>
            <w:tcW w:type="dxa" w:w="2353"/>
            <w:vAlign w:val="center"/>
            <w:tcMar>
              <w:top w:w="90" w:type="dxa"/>
              <w:start w:w="110" w:type="dxa"/>
              <w:bottom w:w="90" w:type="dxa"/>
              <w:end w:w="110" w:type="dxa"/>
            </w:tcMar>
            <w:shd w:fill="0F4761"/>
          </w:tcPr>
          <w:p>
            <w:pPr>
              <w:spacing w:before="0" w:after="0" w:line="252" w:lineRule="auto"/>
              <w:jc w:val="center"/>
            </w:pPr>
            <w:r/>
            <w:r>
              <w:rPr>
                <w:rFonts w:ascii="Arial" w:hAnsi="Arial"/>
                <w:b/>
                <w:color w:val="FFFFFF"/>
                <w:sz w:val="17"/>
              </w:rPr>
              <w:t>Max</w:t>
            </w:r>
          </w:p>
        </w:tc>
        <w:tc>
          <w:tcPr>
            <w:tcW w:type="dxa" w:w="2353"/>
            <w:vAlign w:val="center"/>
            <w:tcMar>
              <w:top w:w="90" w:type="dxa"/>
              <w:start w:w="110" w:type="dxa"/>
              <w:bottom w:w="90" w:type="dxa"/>
              <w:end w:w="110" w:type="dxa"/>
            </w:tcMar>
            <w:shd w:fill="0F4761"/>
          </w:tcPr>
          <w:p>
            <w:pPr>
              <w:spacing w:before="0" w:after="0" w:line="252" w:lineRule="auto"/>
              <w:jc w:val="center"/>
            </w:pPr>
            <w:r/>
            <w:r>
              <w:rPr>
                <w:rFonts w:ascii="Arial" w:hAnsi="Arial"/>
                <w:b/>
                <w:color w:val="FFFFFF"/>
                <w:sz w:val="17"/>
              </w:rPr>
              <w:t>Erreicht</w:t>
            </w:r>
          </w:p>
        </w:tc>
      </w:tr>
      <w:tr>
        <w:tc>
          <w:tcPr>
            <w:tcW w:type="dxa" w:w="2098"/>
            <w:vAlign w:val="center"/>
            <w:tcMar>
              <w:top w:w="90" w:type="dxa"/>
              <w:start w:w="110" w:type="dxa"/>
              <w:bottom w:w="90" w:type="dxa"/>
              <w:end w:w="110" w:type="dxa"/>
            </w:tcMar>
          </w:tcPr>
          <w:p>
            <w:pPr>
              <w:spacing w:before="0" w:after="0" w:line="252" w:lineRule="auto"/>
              <w:jc w:val="left"/>
            </w:pPr>
            <w:r/>
            <w:r>
              <w:rPr>
                <w:rFonts w:ascii="Arial" w:hAnsi="Arial"/>
                <w:b/>
                <w:color w:val="1F1F1F"/>
                <w:sz w:val="17"/>
              </w:rPr>
              <w:t>Fächerverbindende Grundidee</w:t>
            </w:r>
          </w:p>
        </w:tc>
        <w:tc>
          <w:tcPr>
            <w:tcW w:type="dxa" w:w="5839"/>
            <w:vAlign w:val="center"/>
            <w:tcMar>
              <w:top w:w="90" w:type="dxa"/>
              <w:start w:w="110" w:type="dxa"/>
              <w:bottom w:w="90" w:type="dxa"/>
              <w:end w:w="110" w:type="dxa"/>
            </w:tcMar>
          </w:tcPr>
          <w:p>
            <w:pPr>
              <w:spacing w:before="0" w:after="0" w:line="252" w:lineRule="auto"/>
              <w:jc w:val="left"/>
            </w:pPr>
            <w:r/>
            <w:r>
              <w:rPr>
                <w:rFonts w:ascii="Arial" w:hAnsi="Arial"/>
                <w:b w:val="0"/>
                <w:color w:val="1F1F1F"/>
                <w:sz w:val="17"/>
              </w:rPr>
              <w:t>Die Leitfrage geht aus dem sportlichen Handeln oder einer realen Sportfestsituation hervor. Sport und mindestens ein weiteres Fach leisten jeweils einen notwendigen Beitrag. Die Station geht über Information, Quiz oder bloße Beschäftigung hinaus.</w:t>
            </w:r>
          </w:p>
        </w:tc>
        <w:tc>
          <w:tcPr>
            <w:tcW w:type="dxa" w:w="794"/>
            <w:vAlign w:val="center"/>
            <w:tcMar>
              <w:top w:w="90" w:type="dxa"/>
              <w:start w:w="110" w:type="dxa"/>
              <w:bottom w:w="90" w:type="dxa"/>
              <w:end w:w="110" w:type="dxa"/>
            </w:tcMar>
          </w:tcPr>
          <w:p>
            <w:pPr>
              <w:spacing w:before="0" w:after="0" w:line="252" w:lineRule="auto"/>
              <w:jc w:val="center"/>
            </w:pPr>
            <w:r/>
            <w:r>
              <w:rPr>
                <w:rFonts w:ascii="Arial" w:hAnsi="Arial"/>
                <w:b/>
                <w:color w:val="1F1F1F"/>
                <w:sz w:val="18"/>
              </w:rPr>
              <w:t>20</w:t>
            </w:r>
          </w:p>
        </w:tc>
        <w:tc>
          <w:tcPr>
            <w:tcW w:type="dxa" w:w="907"/>
            <w:vAlign w:val="center"/>
            <w:tcMar>
              <w:top w:w="90" w:type="dxa"/>
              <w:start w:w="110" w:type="dxa"/>
              <w:bottom w:w="90" w:type="dxa"/>
              <w:end w:w="110" w:type="dxa"/>
            </w:tcMar>
          </w:tcPr>
          <w:p>
            <w:pPr>
              <w:spacing w:before="0" w:after="0" w:line="252" w:lineRule="auto"/>
              <w:jc w:val="center"/>
            </w:pPr>
            <w:r/>
            <w:r>
              <w:rPr>
                <w:rFonts w:ascii="Arial" w:hAnsi="Arial"/>
                <w:b w:val="0"/>
                <w:color w:val="1F1F1F"/>
                <w:sz w:val="18"/>
              </w:rPr>
            </w:r>
          </w:p>
        </w:tc>
      </w:tr>
      <w:tr>
        <w:tc>
          <w:tcPr>
            <w:tcW w:type="dxa" w:w="2098"/>
            <w:shd w:fill="EAF2F7"/>
            <w:vAlign w:val="center"/>
            <w:tcMar>
              <w:top w:w="90" w:type="dxa"/>
              <w:start w:w="110" w:type="dxa"/>
              <w:bottom w:w="90" w:type="dxa"/>
              <w:end w:w="110" w:type="dxa"/>
            </w:tcMar>
          </w:tcPr>
          <w:p>
            <w:pPr>
              <w:spacing w:before="0" w:after="0" w:line="252" w:lineRule="auto"/>
              <w:jc w:val="left"/>
            </w:pPr>
            <w:r/>
            <w:r>
              <w:rPr>
                <w:rFonts w:ascii="Arial" w:hAnsi="Arial"/>
                <w:b/>
                <w:color w:val="1F1F1F"/>
                <w:sz w:val="17"/>
              </w:rPr>
              <w:t>Fachliche Qualität und Erkenntnisweg</w:t>
            </w:r>
          </w:p>
        </w:tc>
        <w:tc>
          <w:tcPr>
            <w:tcW w:type="dxa" w:w="5839"/>
            <w:shd w:fill="EAF2F7"/>
            <w:vAlign w:val="center"/>
            <w:tcMar>
              <w:top w:w="90" w:type="dxa"/>
              <w:start w:w="110" w:type="dxa"/>
              <w:bottom w:w="90" w:type="dxa"/>
              <w:end w:w="110" w:type="dxa"/>
            </w:tcMar>
          </w:tcPr>
          <w:p>
            <w:pPr>
              <w:spacing w:before="0" w:after="0" w:line="252" w:lineRule="auto"/>
              <w:jc w:val="left"/>
            </w:pPr>
            <w:r/>
            <w:r>
              <w:rPr>
                <w:rFonts w:ascii="Arial" w:hAnsi="Arial"/>
                <w:b w:val="0"/>
                <w:color w:val="1F1F1F"/>
                <w:sz w:val="17"/>
              </w:rPr>
              <w:t>Die fachlichen Aussagen sind korrekt. Der Weg von Handlung und Beobachtung über Messung, Darstellung oder Modellierung bis zur Deutung ist nachvollziehbar. Variablen, Verfahren, Annahmen, Messunsicherheit und Modellgrenzen werden angemessen behandelt.</w:t>
            </w:r>
          </w:p>
        </w:tc>
        <w:tc>
          <w:tcPr>
            <w:tcW w:type="dxa" w:w="794"/>
            <w:shd w:fill="EAF2F7"/>
            <w:vAlign w:val="center"/>
            <w:tcMar>
              <w:top w:w="90" w:type="dxa"/>
              <w:start w:w="110" w:type="dxa"/>
              <w:bottom w:w="90" w:type="dxa"/>
              <w:end w:w="110" w:type="dxa"/>
            </w:tcMar>
          </w:tcPr>
          <w:p>
            <w:pPr>
              <w:spacing w:before="0" w:after="0" w:line="252" w:lineRule="auto"/>
              <w:jc w:val="center"/>
            </w:pPr>
            <w:r/>
            <w:r>
              <w:rPr>
                <w:rFonts w:ascii="Arial" w:hAnsi="Arial"/>
                <w:b/>
                <w:color w:val="1F1F1F"/>
                <w:sz w:val="18"/>
              </w:rPr>
              <w:t>25</w:t>
            </w:r>
          </w:p>
        </w:tc>
        <w:tc>
          <w:tcPr>
            <w:tcW w:type="dxa" w:w="907"/>
            <w:shd w:fill="EAF2F7"/>
            <w:vAlign w:val="center"/>
            <w:tcMar>
              <w:top w:w="90" w:type="dxa"/>
              <w:start w:w="110" w:type="dxa"/>
              <w:bottom w:w="90" w:type="dxa"/>
              <w:end w:w="110" w:type="dxa"/>
            </w:tcMar>
          </w:tcPr>
          <w:p>
            <w:pPr>
              <w:spacing w:before="0" w:after="0" w:line="252" w:lineRule="auto"/>
              <w:jc w:val="center"/>
            </w:pPr>
            <w:r/>
            <w:r>
              <w:rPr>
                <w:rFonts w:ascii="Arial" w:hAnsi="Arial"/>
                <w:b w:val="0"/>
                <w:color w:val="1F1F1F"/>
                <w:sz w:val="18"/>
              </w:rPr>
            </w:r>
          </w:p>
        </w:tc>
      </w:tr>
      <w:tr>
        <w:tc>
          <w:tcPr>
            <w:tcW w:type="dxa" w:w="2098"/>
            <w:vAlign w:val="center"/>
            <w:tcMar>
              <w:top w:w="90" w:type="dxa"/>
              <w:start w:w="110" w:type="dxa"/>
              <w:bottom w:w="90" w:type="dxa"/>
              <w:end w:w="110" w:type="dxa"/>
            </w:tcMar>
          </w:tcPr>
          <w:p>
            <w:pPr>
              <w:spacing w:before="0" w:after="0" w:line="252" w:lineRule="auto"/>
              <w:jc w:val="left"/>
            </w:pPr>
            <w:r/>
            <w:r>
              <w:rPr>
                <w:rFonts w:ascii="Arial" w:hAnsi="Arial"/>
                <w:b/>
                <w:color w:val="1F1F1F"/>
                <w:sz w:val="17"/>
              </w:rPr>
              <w:t>Praktikabilität im Sportfest</w:t>
            </w:r>
          </w:p>
        </w:tc>
        <w:tc>
          <w:tcPr>
            <w:tcW w:type="dxa" w:w="5839"/>
            <w:vAlign w:val="center"/>
            <w:tcMar>
              <w:top w:w="90" w:type="dxa"/>
              <w:start w:w="110" w:type="dxa"/>
              <w:bottom w:w="90" w:type="dxa"/>
              <w:end w:w="110" w:type="dxa"/>
            </w:tcMar>
          </w:tcPr>
          <w:p>
            <w:pPr>
              <w:spacing w:before="0" w:after="0" w:line="252" w:lineRule="auto"/>
              <w:jc w:val="left"/>
            </w:pPr>
            <w:r/>
            <w:r>
              <w:rPr>
                <w:rFonts w:ascii="Arial" w:hAnsi="Arial"/>
                <w:b w:val="0"/>
                <w:color w:val="1F1F1F"/>
                <w:sz w:val="17"/>
              </w:rPr>
              <w:t>Zeit, Gruppengröße, Durchsatz, Betreuung, Aufbau, Rückstellung, Raum und Material sind realistisch geplant. Störungen durch Wetter, Lärm, Netz- oder Geräteausfall werden berücksichtigt. Die Ersatzlösung ist durchführbar.</w:t>
            </w:r>
          </w:p>
        </w:tc>
        <w:tc>
          <w:tcPr>
            <w:tcW w:type="dxa" w:w="794"/>
            <w:vAlign w:val="center"/>
            <w:tcMar>
              <w:top w:w="90" w:type="dxa"/>
              <w:start w:w="110" w:type="dxa"/>
              <w:bottom w:w="90" w:type="dxa"/>
              <w:end w:w="110" w:type="dxa"/>
            </w:tcMar>
          </w:tcPr>
          <w:p>
            <w:pPr>
              <w:spacing w:before="0" w:after="0" w:line="252" w:lineRule="auto"/>
              <w:jc w:val="center"/>
            </w:pPr>
            <w:r/>
            <w:r>
              <w:rPr>
                <w:rFonts w:ascii="Arial" w:hAnsi="Arial"/>
                <w:b/>
                <w:color w:val="1F1F1F"/>
                <w:sz w:val="18"/>
              </w:rPr>
              <w:t>20</w:t>
            </w:r>
          </w:p>
        </w:tc>
        <w:tc>
          <w:tcPr>
            <w:tcW w:type="dxa" w:w="907"/>
            <w:vAlign w:val="center"/>
            <w:tcMar>
              <w:top w:w="90" w:type="dxa"/>
              <w:start w:w="110" w:type="dxa"/>
              <w:bottom w:w="90" w:type="dxa"/>
              <w:end w:w="110" w:type="dxa"/>
            </w:tcMar>
          </w:tcPr>
          <w:p>
            <w:pPr>
              <w:spacing w:before="0" w:after="0" w:line="252" w:lineRule="auto"/>
              <w:jc w:val="center"/>
            </w:pPr>
            <w:r/>
            <w:r>
              <w:rPr>
                <w:rFonts w:ascii="Arial" w:hAnsi="Arial"/>
                <w:b w:val="0"/>
                <w:color w:val="1F1F1F"/>
                <w:sz w:val="18"/>
              </w:rPr>
            </w:r>
          </w:p>
        </w:tc>
      </w:tr>
      <w:tr>
        <w:tc>
          <w:tcPr>
            <w:tcW w:type="dxa" w:w="2098"/>
            <w:shd w:fill="EAF2F7"/>
            <w:vAlign w:val="center"/>
            <w:tcMar>
              <w:top w:w="90" w:type="dxa"/>
              <w:start w:w="110" w:type="dxa"/>
              <w:bottom w:w="90" w:type="dxa"/>
              <w:end w:w="110" w:type="dxa"/>
            </w:tcMar>
          </w:tcPr>
          <w:p>
            <w:pPr>
              <w:spacing w:before="0" w:after="0" w:line="252" w:lineRule="auto"/>
              <w:jc w:val="left"/>
            </w:pPr>
            <w:r/>
            <w:r>
              <w:rPr>
                <w:rFonts w:ascii="Arial" w:hAnsi="Arial"/>
                <w:b/>
                <w:color w:val="1F1F1F"/>
                <w:sz w:val="17"/>
              </w:rPr>
              <w:t>Lernaufgabe und Ergebnisprodukt</w:t>
            </w:r>
          </w:p>
        </w:tc>
        <w:tc>
          <w:tcPr>
            <w:tcW w:type="dxa" w:w="5839"/>
            <w:shd w:fill="EAF2F7"/>
            <w:vAlign w:val="center"/>
            <w:tcMar>
              <w:top w:w="90" w:type="dxa"/>
              <w:start w:w="110" w:type="dxa"/>
              <w:bottom w:w="90" w:type="dxa"/>
              <w:end w:w="110" w:type="dxa"/>
            </w:tcMar>
          </w:tcPr>
          <w:p>
            <w:pPr>
              <w:spacing w:before="0" w:after="0" w:line="252" w:lineRule="auto"/>
              <w:jc w:val="left"/>
            </w:pPr>
            <w:r/>
            <w:r>
              <w:rPr>
                <w:rFonts w:ascii="Arial" w:hAnsi="Arial"/>
                <w:b w:val="0"/>
                <w:color w:val="1F1F1F"/>
                <w:sz w:val="17"/>
              </w:rPr>
              <w:t>Die Arbeitsanweisung ist verständlich und aktiviert die Lernenden. Lernziele, Rollen und Arbeitsschritte sind erkennbar. Das Ergebnisprodukt macht den fachlichen Erkenntnisgewinn sichtbar und ist in der verfügbaren Zeit erreichbar.</w:t>
            </w:r>
          </w:p>
        </w:tc>
        <w:tc>
          <w:tcPr>
            <w:tcW w:type="dxa" w:w="794"/>
            <w:shd w:fill="EAF2F7"/>
            <w:vAlign w:val="center"/>
            <w:tcMar>
              <w:top w:w="90" w:type="dxa"/>
              <w:start w:w="110" w:type="dxa"/>
              <w:bottom w:w="90" w:type="dxa"/>
              <w:end w:w="110" w:type="dxa"/>
            </w:tcMar>
          </w:tcPr>
          <w:p>
            <w:pPr>
              <w:spacing w:before="0" w:after="0" w:line="252" w:lineRule="auto"/>
              <w:jc w:val="center"/>
            </w:pPr>
            <w:r/>
            <w:r>
              <w:rPr>
                <w:rFonts w:ascii="Arial" w:hAnsi="Arial"/>
                <w:b/>
                <w:color w:val="1F1F1F"/>
                <w:sz w:val="18"/>
              </w:rPr>
              <w:t>15</w:t>
            </w:r>
          </w:p>
        </w:tc>
        <w:tc>
          <w:tcPr>
            <w:tcW w:type="dxa" w:w="907"/>
            <w:shd w:fill="EAF2F7"/>
            <w:vAlign w:val="center"/>
            <w:tcMar>
              <w:top w:w="90" w:type="dxa"/>
              <w:start w:w="110" w:type="dxa"/>
              <w:bottom w:w="90" w:type="dxa"/>
              <w:end w:w="110" w:type="dxa"/>
            </w:tcMar>
          </w:tcPr>
          <w:p>
            <w:pPr>
              <w:spacing w:before="0" w:after="0" w:line="252" w:lineRule="auto"/>
              <w:jc w:val="center"/>
            </w:pPr>
            <w:r/>
            <w:r>
              <w:rPr>
                <w:rFonts w:ascii="Arial" w:hAnsi="Arial"/>
                <w:b w:val="0"/>
                <w:color w:val="1F1F1F"/>
                <w:sz w:val="18"/>
              </w:rPr>
            </w:r>
          </w:p>
        </w:tc>
      </w:tr>
      <w:tr>
        <w:tc>
          <w:tcPr>
            <w:tcW w:type="dxa" w:w="2098"/>
            <w:vAlign w:val="center"/>
            <w:tcMar>
              <w:top w:w="90" w:type="dxa"/>
              <w:start w:w="110" w:type="dxa"/>
              <w:bottom w:w="90" w:type="dxa"/>
              <w:end w:w="110" w:type="dxa"/>
            </w:tcMar>
          </w:tcPr>
          <w:p>
            <w:pPr>
              <w:spacing w:before="0" w:after="0" w:line="252" w:lineRule="auto"/>
              <w:jc w:val="left"/>
            </w:pPr>
            <w:r/>
            <w:r>
              <w:rPr>
                <w:rFonts w:ascii="Arial" w:hAnsi="Arial"/>
                <w:b/>
                <w:color w:val="1F1F1F"/>
                <w:sz w:val="17"/>
              </w:rPr>
              <w:t>Reflexion und verantwortliche Gestaltung</w:t>
            </w:r>
          </w:p>
        </w:tc>
        <w:tc>
          <w:tcPr>
            <w:tcW w:type="dxa" w:w="5839"/>
            <w:vAlign w:val="center"/>
            <w:tcMar>
              <w:top w:w="90" w:type="dxa"/>
              <w:start w:w="110" w:type="dxa"/>
              <w:bottom w:w="90" w:type="dxa"/>
              <w:end w:w="110" w:type="dxa"/>
            </w:tcMar>
          </w:tcPr>
          <w:p>
            <w:pPr>
              <w:spacing w:before="0" w:after="0" w:line="252" w:lineRule="auto"/>
              <w:jc w:val="left"/>
            </w:pPr>
            <w:r/>
            <w:r>
              <w:rPr>
                <w:rFonts w:ascii="Arial" w:hAnsi="Arial"/>
                <w:b w:val="0"/>
                <w:color w:val="1F1F1F"/>
                <w:sz w:val="17"/>
              </w:rPr>
              <w:t>Sicherheit, Inklusion, Differenzierung, Fairness und Datenschutz werden konkret berücksichtigt. Der Probelauf oder Ablaufcheck führt zu nachvollziehbaren Verbesserungen. Grenzen des Konzepts werden offen benannt.</w:t>
            </w:r>
          </w:p>
        </w:tc>
        <w:tc>
          <w:tcPr>
            <w:tcW w:type="dxa" w:w="794"/>
            <w:vAlign w:val="center"/>
            <w:tcMar>
              <w:top w:w="90" w:type="dxa"/>
              <w:start w:w="110" w:type="dxa"/>
              <w:bottom w:w="90" w:type="dxa"/>
              <w:end w:w="110" w:type="dxa"/>
            </w:tcMar>
          </w:tcPr>
          <w:p>
            <w:pPr>
              <w:spacing w:before="0" w:after="0" w:line="252" w:lineRule="auto"/>
              <w:jc w:val="center"/>
            </w:pPr>
            <w:r/>
            <w:r>
              <w:rPr>
                <w:rFonts w:ascii="Arial" w:hAnsi="Arial"/>
                <w:b/>
                <w:color w:val="1F1F1F"/>
                <w:sz w:val="18"/>
              </w:rPr>
              <w:t>10</w:t>
            </w:r>
          </w:p>
        </w:tc>
        <w:tc>
          <w:tcPr>
            <w:tcW w:type="dxa" w:w="907"/>
            <w:vAlign w:val="center"/>
            <w:tcMar>
              <w:top w:w="90" w:type="dxa"/>
              <w:start w:w="110" w:type="dxa"/>
              <w:bottom w:w="90" w:type="dxa"/>
              <w:end w:w="110" w:type="dxa"/>
            </w:tcMar>
          </w:tcPr>
          <w:p>
            <w:pPr>
              <w:spacing w:before="0" w:after="0" w:line="252" w:lineRule="auto"/>
              <w:jc w:val="center"/>
            </w:pPr>
            <w:r/>
            <w:r>
              <w:rPr>
                <w:rFonts w:ascii="Arial" w:hAnsi="Arial"/>
                <w:b w:val="0"/>
                <w:color w:val="1F1F1F"/>
                <w:sz w:val="18"/>
              </w:rPr>
            </w:r>
          </w:p>
        </w:tc>
      </w:tr>
      <w:tr>
        <w:tc>
          <w:tcPr>
            <w:tcW w:type="dxa" w:w="2098"/>
            <w:shd w:fill="EAF2F7"/>
            <w:vAlign w:val="center"/>
            <w:tcMar>
              <w:top w:w="90" w:type="dxa"/>
              <w:start w:w="110" w:type="dxa"/>
              <w:bottom w:w="90" w:type="dxa"/>
              <w:end w:w="110" w:type="dxa"/>
            </w:tcMar>
          </w:tcPr>
          <w:p>
            <w:pPr>
              <w:spacing w:before="0" w:after="0" w:line="252" w:lineRule="auto"/>
              <w:jc w:val="left"/>
            </w:pPr>
            <w:r/>
            <w:r>
              <w:rPr>
                <w:rFonts w:ascii="Arial" w:hAnsi="Arial"/>
                <w:b/>
                <w:color w:val="1F1F1F"/>
                <w:sz w:val="17"/>
              </w:rPr>
              <w:t>Lehrplan Literatur und Darstellung</w:t>
            </w:r>
          </w:p>
        </w:tc>
        <w:tc>
          <w:tcPr>
            <w:tcW w:type="dxa" w:w="5839"/>
            <w:shd w:fill="EAF2F7"/>
            <w:vAlign w:val="center"/>
            <w:tcMar>
              <w:top w:w="90" w:type="dxa"/>
              <w:start w:w="110" w:type="dxa"/>
              <w:bottom w:w="90" w:type="dxa"/>
              <w:end w:w="110" w:type="dxa"/>
            </w:tcMar>
          </w:tcPr>
          <w:p>
            <w:pPr>
              <w:spacing w:before="0" w:after="0" w:line="252" w:lineRule="auto"/>
              <w:jc w:val="left"/>
            </w:pPr>
            <w:r/>
            <w:r>
              <w:rPr>
                <w:rFonts w:ascii="Arial" w:hAnsi="Arial"/>
                <w:b w:val="0"/>
                <w:color w:val="1F1F1F"/>
                <w:sz w:val="17"/>
              </w:rPr>
              <w:t>Die Lehrplanbezüge sind konkret und passen zu Zielgruppe und Lernzielen. Fachliteratur wird sinnvoll genutzt. Die Ausarbeitung ist klar gegliedert, sprachlich präzise und formal konsistent.</w:t>
            </w:r>
          </w:p>
        </w:tc>
        <w:tc>
          <w:tcPr>
            <w:tcW w:type="dxa" w:w="794"/>
            <w:shd w:fill="EAF2F7"/>
            <w:vAlign w:val="center"/>
            <w:tcMar>
              <w:top w:w="90" w:type="dxa"/>
              <w:start w:w="110" w:type="dxa"/>
              <w:bottom w:w="90" w:type="dxa"/>
              <w:end w:w="110" w:type="dxa"/>
            </w:tcMar>
          </w:tcPr>
          <w:p>
            <w:pPr>
              <w:spacing w:before="0" w:after="0" w:line="252" w:lineRule="auto"/>
              <w:jc w:val="center"/>
            </w:pPr>
            <w:r/>
            <w:r>
              <w:rPr>
                <w:rFonts w:ascii="Arial" w:hAnsi="Arial"/>
                <w:b/>
                <w:color w:val="1F1F1F"/>
                <w:sz w:val="18"/>
              </w:rPr>
              <w:t>10</w:t>
            </w:r>
          </w:p>
        </w:tc>
        <w:tc>
          <w:tcPr>
            <w:tcW w:type="dxa" w:w="907"/>
            <w:shd w:fill="EAF2F7"/>
            <w:vAlign w:val="center"/>
            <w:tcMar>
              <w:top w:w="90" w:type="dxa"/>
              <w:start w:w="110" w:type="dxa"/>
              <w:bottom w:w="90" w:type="dxa"/>
              <w:end w:w="110" w:type="dxa"/>
            </w:tcMar>
          </w:tcPr>
          <w:p>
            <w:pPr>
              <w:spacing w:before="0" w:after="0" w:line="252" w:lineRule="auto"/>
              <w:jc w:val="center"/>
            </w:pPr>
            <w:r/>
            <w:r>
              <w:rPr>
                <w:rFonts w:ascii="Arial" w:hAnsi="Arial"/>
                <w:b w:val="0"/>
                <w:color w:val="1F1F1F"/>
                <w:sz w:val="18"/>
              </w:rPr>
            </w:r>
          </w:p>
        </w:tc>
      </w:tr>
      <w:tr>
        <w:tc>
          <w:tcPr>
            <w:tcW w:type="dxa" w:w="2098"/>
            <w:shd w:fill="F2F2F2"/>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Gesamt</w:t>
            </w:r>
          </w:p>
        </w:tc>
        <w:tc>
          <w:tcPr>
            <w:tcW w:type="dxa" w:w="5839"/>
            <w:shd w:fill="F2F2F2"/>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r>
          </w:p>
        </w:tc>
        <w:tc>
          <w:tcPr>
            <w:tcW w:type="dxa" w:w="794"/>
            <w:shd w:fill="F2F2F2"/>
            <w:vAlign w:val="center"/>
            <w:tcMar>
              <w:top w:w="90" w:type="dxa"/>
              <w:start w:w="110" w:type="dxa"/>
              <w:bottom w:w="90" w:type="dxa"/>
              <w:end w:w="110" w:type="dxa"/>
            </w:tcMar>
          </w:tcPr>
          <w:p>
            <w:pPr>
              <w:spacing w:before="0" w:after="0" w:line="252" w:lineRule="auto"/>
              <w:jc w:val="center"/>
            </w:pPr>
            <w:r/>
            <w:r>
              <w:rPr>
                <w:rFonts w:ascii="Arial" w:hAnsi="Arial"/>
                <w:b/>
                <w:color w:val="1F1F1F"/>
                <w:sz w:val="18"/>
              </w:rPr>
              <w:t>100</w:t>
            </w:r>
          </w:p>
        </w:tc>
        <w:tc>
          <w:tcPr>
            <w:tcW w:type="dxa" w:w="907"/>
            <w:shd w:fill="F2F2F2"/>
            <w:vAlign w:val="center"/>
            <w:tcMar>
              <w:top w:w="90" w:type="dxa"/>
              <w:start w:w="110" w:type="dxa"/>
              <w:bottom w:w="90" w:type="dxa"/>
              <w:end w:w="110" w:type="dxa"/>
            </w:tcMar>
          </w:tcPr>
          <w:p>
            <w:pPr>
              <w:spacing w:before="0" w:after="0" w:line="252" w:lineRule="auto"/>
              <w:jc w:val="center"/>
            </w:pPr>
            <w:r/>
            <w:r>
              <w:rPr>
                <w:rFonts w:ascii="Arial" w:hAnsi="Arial"/>
                <w:b w:val="0"/>
                <w:color w:val="1F1F1F"/>
                <w:sz w:val="18"/>
              </w:rPr>
            </w:r>
          </w:p>
        </w:tc>
      </w:tr>
    </w:tbl>
    <w:p>
      <w:pPr>
        <w:pStyle w:val="Heading1"/>
      </w:pPr>
      <w:r>
        <w:rPr>
          <w:rFonts w:ascii="Arial" w:hAnsi="Arial"/>
          <w:b/>
          <w:color w:val="0F4761"/>
          <w:sz w:val="28"/>
        </w:rPr>
        <w:t>Orientierung für die Punktevergabe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38"/>
        <w:gridCol w:w="6803"/>
      </w:tblGrid>
      <w:tr>
        <w:trPr>
          <w:tblHeader w:val="true"/>
        </w:trPr>
        <w:tc>
          <w:tcPr>
            <w:tcW w:type="dxa" w:w="4706"/>
            <w:vAlign w:val="center"/>
            <w:tcMar>
              <w:top w:w="90" w:type="dxa"/>
              <w:start w:w="110" w:type="dxa"/>
              <w:bottom w:w="90" w:type="dxa"/>
              <w:end w:w="110" w:type="dxa"/>
            </w:tcMar>
            <w:shd w:fill="0F4761"/>
          </w:tcPr>
          <w:p>
            <w:pPr>
              <w:spacing w:before="0" w:after="0" w:line="252" w:lineRule="auto"/>
              <w:jc w:val="left"/>
            </w:pPr>
            <w:r/>
            <w:r>
              <w:rPr>
                <w:rFonts w:ascii="Arial" w:hAnsi="Arial"/>
                <w:b/>
                <w:color w:val="FFFFFF"/>
                <w:sz w:val="18"/>
              </w:rPr>
              <w:t>Leistungsstufe</w:t>
            </w:r>
          </w:p>
        </w:tc>
        <w:tc>
          <w:tcPr>
            <w:tcW w:type="dxa" w:w="4706"/>
            <w:vAlign w:val="center"/>
            <w:tcMar>
              <w:top w:w="90" w:type="dxa"/>
              <w:start w:w="110" w:type="dxa"/>
              <w:bottom w:w="90" w:type="dxa"/>
              <w:end w:w="110" w:type="dxa"/>
            </w:tcMar>
            <w:shd w:fill="0F4761"/>
          </w:tcPr>
          <w:p>
            <w:pPr>
              <w:spacing w:before="0" w:after="0" w:line="252" w:lineRule="auto"/>
              <w:jc w:val="left"/>
            </w:pPr>
            <w:r/>
            <w:r>
              <w:rPr>
                <w:rFonts w:ascii="Arial" w:hAnsi="Arial"/>
                <w:b/>
                <w:color w:val="FFFFFF"/>
                <w:sz w:val="18"/>
              </w:rPr>
              <w:t>Beschreibung</w:t>
            </w:r>
          </w:p>
        </w:tc>
      </w:tr>
      <w:tr>
        <w:tc>
          <w:tcPr>
            <w:tcW w:type="dxa" w:w="2438"/>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Vollständig und schlüssig</w:t>
            </w:r>
          </w:p>
        </w:tc>
        <w:tc>
          <w:tcPr>
            <w:tcW w:type="dxa" w:w="6803"/>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90 bis 100 Prozent der Punkte des Kriteriums. Die Entscheidungen sind präzise begründet, widerspruchsfrei und praktisch nutzbar.</w:t>
            </w:r>
          </w:p>
        </w:tc>
      </w:tr>
      <w:tr>
        <w:tc>
          <w:tcPr>
            <w:tcW w:type="dxa" w:w="2438"/>
            <w:shd w:fill="EAF2F7"/>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Überwiegend erfüllt</w:t>
            </w:r>
          </w:p>
        </w:tc>
        <w:tc>
          <w:tcPr>
            <w:tcW w:type="dxa" w:w="6803"/>
            <w:shd w:fill="EAF2F7"/>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70 bis 89 Prozent. Die Lösung ist tragfähig; einzelne Begründungen oder Durchführungsschritte bleiben offen.</w:t>
            </w:r>
          </w:p>
        </w:tc>
      </w:tr>
      <w:tr>
        <w:tc>
          <w:tcPr>
            <w:tcW w:type="dxa" w:w="2438"/>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Teilweise erfüllt</w:t>
            </w:r>
          </w:p>
        </w:tc>
        <w:tc>
          <w:tcPr>
            <w:tcW w:type="dxa" w:w="6803"/>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40 bis 69 Prozent. Die Grundidee ist erkennbar, weist aber fachliche, didaktische oder organisatorische Lücken auf.</w:t>
            </w:r>
          </w:p>
        </w:tc>
      </w:tr>
      <w:tr>
        <w:tc>
          <w:tcPr>
            <w:tcW w:type="dxa" w:w="2438"/>
            <w:shd w:fill="EAF2F7"/>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Kaum erfüllt</w:t>
            </w:r>
          </w:p>
        </w:tc>
        <w:tc>
          <w:tcPr>
            <w:tcW w:type="dxa" w:w="6803"/>
            <w:shd w:fill="EAF2F7"/>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1 bis 39 Prozent. Wesentliche Anforderungen des Kriteriums werden nur ansatzweise bearbeitet.</w:t>
            </w:r>
          </w:p>
        </w:tc>
      </w:tr>
      <w:tr>
        <w:tc>
          <w:tcPr>
            <w:tcW w:type="dxa" w:w="2438"/>
            <w:vAlign w:val="center"/>
            <w:tcMar>
              <w:top w:w="90" w:type="dxa"/>
              <w:start w:w="110" w:type="dxa"/>
              <w:bottom w:w="90" w:type="dxa"/>
              <w:end w:w="110" w:type="dxa"/>
            </w:tcMar>
          </w:tcPr>
          <w:p>
            <w:pPr>
              <w:spacing w:before="0" w:after="0" w:line="252" w:lineRule="auto"/>
              <w:jc w:val="left"/>
            </w:pPr>
            <w:r/>
            <w:r>
              <w:rPr>
                <w:rFonts w:ascii="Arial" w:hAnsi="Arial"/>
                <w:b/>
                <w:color w:val="1F1F1F"/>
                <w:sz w:val="18"/>
              </w:rPr>
              <w:t>Nicht erfüllt</w:t>
            </w:r>
          </w:p>
        </w:tc>
        <w:tc>
          <w:tcPr>
            <w:tcW w:type="dxa" w:w="6803"/>
            <w:vAlign w:val="center"/>
            <w:tcMar>
              <w:top w:w="90" w:type="dxa"/>
              <w:start w:w="110" w:type="dxa"/>
              <w:bottom w:w="90" w:type="dxa"/>
              <w:end w:w="110" w:type="dxa"/>
            </w:tcMar>
          </w:tcPr>
          <w:p>
            <w:pPr>
              <w:spacing w:before="0" w:after="0" w:line="252" w:lineRule="auto"/>
              <w:jc w:val="left"/>
            </w:pPr>
            <w:r/>
            <w:r>
              <w:rPr>
                <w:rFonts w:ascii="Arial" w:hAnsi="Arial"/>
                <w:b w:val="0"/>
                <w:color w:val="1F1F1F"/>
                <w:sz w:val="18"/>
              </w:rPr>
              <w:t>0 Prozent. Das Kriterium ist nicht bearbeitet oder nicht erkennbar.</w:t>
            </w:r>
          </w:p>
        </w:tc>
      </w:tr>
    </w:tbl>
    <w:p>
      <w:pPr>
        <w:pStyle w:val="Heading1"/>
      </w:pPr>
      <w:r>
        <w:rPr>
          <w:rFonts w:ascii="Arial" w:hAnsi="Arial"/>
          <w:b/>
          <w:color w:val="0F4761"/>
          <w:sz w:val="28"/>
        </w:rPr>
        <w:t>Mindestmerkmale</w:t>
      </w:r>
    </w:p>
    <w:p>
      <w:pPr/>
      <w:r>
        <w:rPr>
          <w:rFonts w:ascii="Arial" w:hAnsi="Arial"/>
          <w:color w:val="1F1F1F"/>
          <w:sz w:val="21"/>
        </w:rPr>
        <w:t>Die Aufgabenstellung ist nur dann in ihrem Kern erfüllt, wenn alle folgenden Merkmale erkennbar sind:</w:t>
      </w:r>
    </w:p>
    <w:p>
      <w:pPr>
        <w:pStyle w:val="ListBullet"/>
        <w:spacing w:after="50"/>
        <w:ind w:left="369" w:hanging="198"/>
      </w:pPr>
      <w:r>
        <w:rPr>
          <w:rFonts w:ascii="Arial" w:hAnsi="Arial"/>
          <w:color w:val="1F1F1F"/>
          <w:sz w:val="20"/>
        </w:rPr>
        <w:t>eine reale Bewegungs-, Beobachtungs- oder Handlungssituation</w:t>
      </w:r>
    </w:p>
    <w:p>
      <w:pPr>
        <w:pStyle w:val="ListBullet"/>
        <w:spacing w:after="50"/>
        <w:ind w:left="369" w:hanging="198"/>
      </w:pPr>
      <w:r>
        <w:rPr>
          <w:rFonts w:ascii="Arial" w:hAnsi="Arial"/>
          <w:color w:val="1F1F1F"/>
          <w:sz w:val="20"/>
        </w:rPr>
        <w:t>eine inhaltlich notwendige Verbindung von Sport mit mindestens einem weiteren Fach</w:t>
      </w:r>
    </w:p>
    <w:p>
      <w:pPr>
        <w:pStyle w:val="ListBullet"/>
        <w:spacing w:after="50"/>
        <w:ind w:left="369" w:hanging="198"/>
      </w:pPr>
      <w:r>
        <w:rPr>
          <w:rFonts w:ascii="Arial" w:hAnsi="Arial"/>
          <w:color w:val="1F1F1F"/>
          <w:sz w:val="20"/>
        </w:rPr>
        <w:t>eine Erkenntnisaufgabe mit fachlich begründeter Auswertung oder Deutung</w:t>
      </w:r>
    </w:p>
    <w:p>
      <w:pPr>
        <w:pStyle w:val="ListBullet"/>
        <w:spacing w:after="50"/>
        <w:ind w:left="369" w:hanging="198"/>
      </w:pPr>
      <w:r>
        <w:rPr>
          <w:rFonts w:ascii="Arial" w:hAnsi="Arial"/>
          <w:color w:val="1F1F1F"/>
          <w:sz w:val="20"/>
        </w:rPr>
        <w:t>ein sichtbares Ergebnisprodukt</w:t>
      </w:r>
    </w:p>
    <w:p>
      <w:pPr>
        <w:pStyle w:val="ListBullet"/>
        <w:spacing w:after="50"/>
        <w:ind w:left="369" w:hanging="198"/>
      </w:pPr>
      <w:r>
        <w:rPr>
          <w:rFonts w:ascii="Arial" w:hAnsi="Arial"/>
          <w:color w:val="1F1F1F"/>
          <w:sz w:val="20"/>
        </w:rPr>
        <w:t>ein plausibler Ablauf für ein tatsächliches Sportfest</w:t>
      </w:r>
    </w:p>
    <w:p>
      <w:pPr>
        <w:pStyle w:val="ListBullet"/>
        <w:spacing w:after="50"/>
        <w:ind w:left="369" w:hanging="198"/>
      </w:pPr>
      <w:r>
        <w:rPr>
          <w:rFonts w:ascii="Arial" w:hAnsi="Arial"/>
          <w:color w:val="1F1F1F"/>
          <w:sz w:val="20"/>
        </w:rPr>
        <w:t>eine kritische Auseinandersetzung mit Sicherheit, Teilhabe und Grenzen der Aussagekraft</w:t>
      </w:r>
    </w:p>
    <w:p>
      <w:pPr/>
      <w:r>
        <w:rPr>
          <w:rFonts w:ascii="Arial" w:hAnsi="Arial"/>
          <w:color w:val="1F1F1F"/>
          <w:sz w:val="21"/>
        </w:rPr>
        <w:t>Fehlt eines dieser Kernmerkmale vollständig, ist die Aufgabenstellung in einem zentralen Punkt nicht erfüllt. Besonders aufwendige Technik gleicht fehlende fachliche oder didaktische Begründung nicht aus.</w:t>
      </w:r>
    </w:p>
    <w:p>
      <w:pPr>
        <w:pStyle w:val="Heading1"/>
      </w:pPr>
      <w:r>
        <w:rPr>
          <w:rFonts w:ascii="Arial" w:hAnsi="Arial"/>
          <w:b/>
          <w:color w:val="0F4761"/>
          <w:sz w:val="28"/>
        </w:rPr>
        <w:t>Rückmeldung</w:t>
      </w:r>
    </w:p>
    <w:p>
      <w:pPr>
        <w:spacing w:before="80" w:after="280"/>
      </w:pPr>
      <w:r>
        <w:rPr>
          <w:rFonts w:ascii="Arial" w:hAnsi="Arial"/>
          <w:b/>
          <w:color w:val="0F4761"/>
          <w:sz w:val="20"/>
        </w:rPr>
        <w:t xml:space="preserve">Besonders überzeugend: </w:t>
      </w:r>
      <w:r>
        <w:rPr>
          <w:rFonts w:ascii="Arial" w:hAnsi="Arial"/>
          <w:color w:val="777777"/>
          <w:sz w:val="20"/>
        </w:rPr>
        <w:t>________________________________________________________________________________</w:t>
      </w:r>
    </w:p>
    <w:p>
      <w:pPr>
        <w:spacing w:before="80" w:after="280"/>
      </w:pPr>
      <w:r>
        <w:rPr>
          <w:rFonts w:ascii="Arial" w:hAnsi="Arial"/>
          <w:b/>
          <w:color w:val="0F4761"/>
          <w:sz w:val="20"/>
        </w:rPr>
        <w:t xml:space="preserve">Weiterzuentwickeln: </w:t>
      </w:r>
      <w:r>
        <w:rPr>
          <w:rFonts w:ascii="Arial" w:hAnsi="Arial"/>
          <w:color w:val="777777"/>
          <w:sz w:val="20"/>
        </w:rPr>
        <w:t>________________________________________________________________________________</w:t>
      </w:r>
    </w:p>
    <w:p>
      <w:pPr>
        <w:spacing w:before="80" w:after="280"/>
      </w:pPr>
      <w:r>
        <w:rPr>
          <w:rFonts w:ascii="Arial" w:hAnsi="Arial"/>
          <w:b/>
          <w:color w:val="0F4761"/>
          <w:sz w:val="20"/>
        </w:rPr>
        <w:t xml:space="preserve">Hinweis für die Umsetzung: </w:t>
      </w:r>
      <w:r>
        <w:rPr>
          <w:rFonts w:ascii="Arial" w:hAnsi="Arial"/>
          <w:color w:val="777777"/>
          <w:sz w:val="20"/>
        </w:rPr>
        <w:t>________________________________________________________________________________</w:t>
      </w:r>
    </w:p>
    <w:sectPr w:rsidR="00FC693F" w:rsidRPr="0006063C" w:rsidSect="00034616">
      <w:footerReference w:type="default" r:id="rId9"/>
      <w:pgSz w:w="11906" w:h="16838"/>
      <w:pgMar w:top="1134"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957" w:val="left"/>
      </w:tabs>
      <w:jc w:val="left"/>
    </w:pPr>
    <w:r>
      <w:rPr>
        <w:rFonts w:ascii="Arial" w:hAnsi="Arial"/>
        <w:color w:val="666666"/>
        <w:sz w:val="17"/>
      </w:rPr>
      <w:t>Vom Bewegungssehen zum Modell  |  Abschlussaufgabe</w:t>
    </w:r>
    <w:r>
      <w:rPr>
        <w:rFonts w:ascii="Arial" w:hAnsi="Arial"/>
        <w:color w:val="666666"/>
        <w:sz w:val="17"/>
      </w:rPr>
      <w:tab/>
    </w:r>
    <w:r>
      <w:rPr>
        <w:rFonts w:ascii="Arial" w:hAnsi="Arial"/>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F4761"/>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F476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rial" w:hAnsi="Arial"/>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pPr>
      <w:spacing w:after="80"/>
    </w:pPr>
    <w:rPr>
      <w:rFonts w:ascii="Arial" w:hAnsi="Arial"/>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Abschlussaufgabe Sportfest mit Wissensstationen</dc:title>
  <dc:subject>Aufgabenstellung und Erwartungshorizont</dc:subject>
  <dc:creator>Thomas Ertelt</dc:creator>
  <cp:keywords>Sportfest, fächerverbindendes Lernen, Wissensstation, Bewegungsanalyse</cp:keywords>
  <dc:description>generated by python-docx</dc:description>
  <cp:lastModifiedBy/>
  <cp:revision>1</cp:revision>
  <dcterms:created xsi:type="dcterms:W3CDTF">2013-12-23T23:15:00Z</dcterms:created>
  <dcterms:modified xsi:type="dcterms:W3CDTF">2013-12-23T23:15:00Z</dcterms:modified>
  <cp:category/>
</cp:coreProperties>
</file>