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5"/>
        <w:jc w:val="center"/>
        <w:rPr>
          <w:b/>
          <w:bCs/>
          <w:sz w:val="18"/>
          <w:szCs w:val="18"/>
        </w:rPr>
      </w:pPr>
      <w:r>
        <w:rPr>
          <w:b/>
          <w:bCs/>
          <w:sz w:val="18"/>
          <w:szCs w:val="18"/>
        </w:rPr>
        <w:t>REPÚBLICA BOLIVARIANA DE VENEZUELA</w:t>
      </w:r>
    </w:p>
    <w:p>
      <w:pPr>
        <w:pStyle w:val="Normal"/>
        <w:spacing w:before="0" w:after="75"/>
        <w:jc w:val="center"/>
        <w:rPr>
          <w:b/>
          <w:bCs/>
          <w:sz w:val="18"/>
          <w:szCs w:val="18"/>
        </w:rPr>
      </w:pPr>
      <w:r>
        <w:rPr>
          <w:b/>
          <w:bCs/>
          <w:sz w:val="18"/>
          <w:szCs w:val="18"/>
        </w:rPr>
        <w:t>MINISTERIO DEL PODER POPULAR PARA LA EDUCACIÓN UNIVERSITARIA</w:t>
      </w:r>
    </w:p>
    <w:p>
      <w:pPr>
        <w:pStyle w:val="Normal"/>
        <w:spacing w:before="0" w:after="75"/>
        <w:jc w:val="center"/>
        <w:rPr>
          <w:b/>
          <w:bCs/>
          <w:sz w:val="18"/>
          <w:szCs w:val="18"/>
        </w:rPr>
      </w:pPr>
      <w:r>
        <w:rPr>
          <w:b/>
          <w:bCs/>
          <w:sz w:val="18"/>
          <w:szCs w:val="18"/>
        </w:rPr>
        <w:t>FACULTAD EXPERIMENTAL DE CIENCIAS</w:t>
      </w:r>
    </w:p>
    <w:p>
      <w:pPr>
        <w:pStyle w:val="Normal"/>
        <w:spacing w:before="0" w:after="75"/>
        <w:jc w:val="center"/>
        <w:rPr>
          <w:b/>
          <w:bCs/>
          <w:sz w:val="18"/>
          <w:szCs w:val="18"/>
        </w:rPr>
      </w:pPr>
      <w:r>
        <w:rPr>
          <w:b/>
          <w:bCs/>
          <w:sz w:val="18"/>
          <w:szCs w:val="18"/>
        </w:rPr>
        <w:t>CARRERA DE COMPUTACIÓN</w:t>
      </w:r>
    </w:p>
    <w:p>
      <w:pPr>
        <w:pStyle w:val="Normal"/>
        <w:spacing w:before="0" w:after="75"/>
        <w:jc w:val="center"/>
        <w:rPr>
          <w:b/>
          <w:bCs/>
          <w:sz w:val="18"/>
          <w:szCs w:val="18"/>
        </w:rPr>
      </w:pPr>
      <w:r>
        <w:rPr>
          <w:b/>
          <w:bCs/>
          <w:sz w:val="18"/>
          <w:szCs w:val="18"/>
        </w:rPr>
        <w:t>CÁTEDRA: INGENIERÍA DE SOFTWARE</w:t>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spacing w:before="0" w:after="240"/>
        <w:rPr>
          <w:b/>
          <w:bCs/>
          <w:sz w:val="18"/>
          <w:szCs w:val="18"/>
        </w:rPr>
      </w:pPr>
      <w:r>
        <w:rPr>
          <w:b/>
          <w:bCs/>
          <w:sz w:val="18"/>
          <w:szCs w:val="18"/>
        </w:rPr>
      </w:r>
    </w:p>
    <w:p>
      <w:pPr>
        <w:pStyle w:val="Heading1"/>
        <w:rPr/>
      </w:pPr>
      <w:r>
        <w:rPr/>
        <w:t>ANÁLISIS EXTENDIDO DE RIESGOS</w:t>
      </w:r>
    </w:p>
    <w:p>
      <w:pPr>
        <w:pStyle w:val="Normal"/>
        <w:spacing w:before="0" w:after="150"/>
        <w:jc w:val="center"/>
        <w:rPr>
          <w:b/>
          <w:bCs/>
          <w:sz w:val="24"/>
          <w:szCs w:val="24"/>
        </w:rPr>
      </w:pPr>
      <w:r>
        <w:rPr>
          <w:b/>
          <w:bCs/>
          <w:sz w:val="24"/>
          <w:szCs w:val="24"/>
        </w:rPr>
        <w:t>Proyecto: RunWell — Aplicación web de seguimiento de running con POO, Supabase e IA</w:t>
      </w:r>
    </w:p>
    <w:p>
      <w:pPr>
        <w:pStyle w:val="Normal"/>
        <w:rPr>
          <w:b/>
          <w:bCs/>
          <w:sz w:val="20"/>
          <w:szCs w:val="20"/>
        </w:rPr>
      </w:pPr>
      <w:r>
        <w:rPr>
          <w:b/>
          <w:bCs/>
          <w:sz w:val="20"/>
          <w:szCs w:val="20"/>
        </w:rPr>
        <w:drawing>
          <wp:anchor distT="0" distB="0" distL="114300" distR="114300" simplePos="0" relativeHeight="5" behindDoc="0" locked="0" layoutInCell="0" allowOverlap="1">
            <wp:simplePos x="0" y="0"/>
            <wp:positionH relativeFrom="margin">
              <wp:align>center</wp:align>
            </wp:positionH>
            <wp:positionV relativeFrom="paragraph">
              <wp:posOffset>329565</wp:posOffset>
            </wp:positionV>
            <wp:extent cx="2057400" cy="259905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57400" cy="2599055"/>
                    </a:xfrm>
                    <a:prstGeom prst="rect">
                      <a:avLst/>
                    </a:prstGeom>
                    <a:noFill/>
                  </pic:spPr>
                </pic:pic>
              </a:graphicData>
            </a:graphic>
          </wp:anchor>
        </w:drawing>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rPr>
          <w:b/>
          <w:bCs/>
          <w:sz w:val="20"/>
          <w:szCs w:val="20"/>
        </w:rPr>
      </w:pPr>
      <w:r>
        <w:rPr>
          <w:b/>
          <w:bCs/>
          <w:sz w:val="20"/>
          <w:szCs w:val="20"/>
        </w:rPr>
      </w:r>
    </w:p>
    <w:p>
      <w:pPr>
        <w:pStyle w:val="Normal"/>
        <w:spacing w:before="0" w:after="150"/>
        <w:jc w:val="center"/>
        <w:rPr>
          <w:b/>
          <w:bCs/>
          <w:sz w:val="24"/>
          <w:szCs w:val="24"/>
        </w:rPr>
      </w:pPr>
      <w:r>
        <w:rPr>
          <w:b/>
          <w:bCs/>
          <w:sz w:val="24"/>
          <w:szCs w:val="24"/>
        </w:rPr>
        <w:t>Autores:</w:t>
      </w:r>
    </w:p>
    <w:p>
      <w:pPr>
        <w:pStyle w:val="Normal"/>
        <w:spacing w:before="0" w:after="150"/>
        <w:jc w:val="center"/>
        <w:rPr>
          <w:sz w:val="24"/>
          <w:szCs w:val="24"/>
        </w:rPr>
      </w:pPr>
      <w:r>
        <w:rPr>
          <w:sz w:val="24"/>
          <w:szCs w:val="24"/>
        </w:rPr>
        <w:t>Aly Rodríguez</w:t>
      </w:r>
    </w:p>
    <w:p>
      <w:pPr>
        <w:pStyle w:val="Normal"/>
        <w:spacing w:before="0" w:after="150"/>
        <w:jc w:val="center"/>
        <w:rPr>
          <w:sz w:val="24"/>
          <w:szCs w:val="24"/>
        </w:rPr>
      </w:pPr>
      <w:r>
        <w:rPr>
          <w:sz w:val="24"/>
          <w:szCs w:val="24"/>
        </w:rPr>
        <w:t>Wilmer Rojas</w:t>
      </w:r>
    </w:p>
    <w:p>
      <w:pPr>
        <w:pStyle w:val="Normal"/>
        <w:spacing w:before="0" w:after="150"/>
        <w:jc w:val="center"/>
        <w:rPr>
          <w:sz w:val="24"/>
          <w:szCs w:val="24"/>
        </w:rPr>
      </w:pPr>
      <w:r>
        <w:rPr>
          <w:sz w:val="24"/>
          <w:szCs w:val="24"/>
        </w:rPr>
        <w:t>Anyer Silva</w:t>
      </w:r>
    </w:p>
    <w:p>
      <w:pPr>
        <w:pStyle w:val="Heading2"/>
        <w:rPr/>
      </w:pPr>
      <w:r>
        <w:rPr/>
        <w:t>1. Introducción al Análisis de Riesgos</w:t>
      </w:r>
    </w:p>
    <w:p>
      <w:pPr>
        <w:pStyle w:val="Normal"/>
        <w:spacing w:before="0" w:after="375"/>
        <w:jc w:val="both"/>
        <w:rPr>
          <w:sz w:val="18"/>
          <w:szCs w:val="18"/>
        </w:rPr>
      </w:pPr>
      <w:r>
        <w:rPr/>
        <mc:AlternateContent>
          <mc:Choice Requires="wps">
            <w:drawing>
              <wp:inline distT="0" distB="0" distL="0" distR="0">
                <wp:extent cx="5943600" cy="19050"/>
                <wp:effectExtent l="0" t="0" r="0" b="238125"/>
                <wp:docPr id="2"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20.3pt;width:467.95pt;height:1.45pt;mso-wrap-style:none;v-text-anchor:middle;mso-position-vertical:top">
                <v:fill o:detectmouseclick="t" type="solid" color2="#5f5f5f"/>
                <v:stroke color="#3465a4" joinstyle="round" endcap="flat"/>
                <w10:wrap type="square"/>
              </v:rect>
            </w:pict>
          </mc:Fallback>
        </mc:AlternateContent>
      </w:r>
      <w:r>
        <w:rPr>
          <w:sz w:val="18"/>
          <w:szCs w:val="18"/>
        </w:rPr>
        <w:t>El presente documento complementa la planificación y el estudio comparativo funcional previamente elaborados para Runwell. Tomando como base el cronograma establecido en el diagrama de Gantt Tomando como base el cronograma establecido en el diagrama de Gantt, se exponen a continuación los riesgos adicionales detectados y su correspondiente taxonomía.</w:t>
      </w:r>
    </w:p>
    <w:p>
      <w:pPr>
        <w:pStyle w:val="Heading2"/>
        <w:spacing w:before="0" w:after="300"/>
        <w:rPr/>
      </w:pPr>
      <w:r>
        <w:rPr/>
        <w:t>2. Tabla de Riesgos del Proyecto</w:t>
      </w:r>
    </w:p>
    <w:p>
      <w:pPr>
        <w:pStyle w:val="Normal"/>
        <w:spacing w:before="0" w:after="225"/>
        <w:jc w:val="both"/>
        <w:rPr>
          <w:sz w:val="18"/>
          <w:szCs w:val="18"/>
        </w:rPr>
      </w:pPr>
      <w:r>
        <w:rPr/>
        <mc:AlternateContent>
          <mc:Choice Requires="wps">
            <w:drawing>
              <wp:inline distT="0" distB="0" distL="0" distR="0">
                <wp:extent cx="5943600" cy="19050"/>
                <wp:effectExtent l="0" t="0" r="0" b="142875"/>
                <wp:docPr id="3"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2.8pt;width:467.95pt;height:1.45pt;mso-wrap-style:none;v-text-anchor:middle;mso-position-vertical:top">
                <v:fill o:detectmouseclick="t" type="solid" color2="#5f5f5f"/>
                <v:stroke color="#3465a4" joinstyle="round" endcap="flat"/>
                <w10:wrap type="square"/>
              </v:rect>
            </w:pict>
          </mc:Fallback>
        </mc:AlternateContent>
      </w:r>
      <w:r>
        <w:rPr>
          <w:sz w:val="18"/>
          <w:szCs w:val="18"/>
        </w:rPr>
        <w:t>Esta tabla evalúa variables específicas asociadas al manejo de datos para la IA, el rendimiento del sistema y la sincronización de los entregables del equipo de desarrollo.</w:t>
      </w:r>
    </w:p>
    <w:tbl>
      <w:tblPr>
        <w:tblStyle w:val="a"/>
        <w:tblW w:w="9360" w:type="dxa"/>
        <w:jc w:val="start"/>
        <w:tblInd w:w="0" w:type="dxa"/>
        <w:tblLayout w:type="fixed"/>
        <w:tblCellMar>
          <w:top w:w="120" w:type="dxa"/>
          <w:start w:w="120" w:type="dxa"/>
          <w:bottom w:w="120" w:type="dxa"/>
          <w:end w:w="120" w:type="dxa"/>
        </w:tblCellMar>
        <w:tblLook w:noHBand="1" w:noVBand="1" w:firstColumn="0" w:lastRow="0" w:lastColumn="0" w:firstRow="0" w:val="0600"/>
      </w:tblPr>
      <w:tblGrid>
        <w:gridCol w:w="656"/>
        <w:gridCol w:w="2340"/>
        <w:gridCol w:w="1216"/>
        <w:gridCol w:w="936"/>
        <w:gridCol w:w="936"/>
        <w:gridCol w:w="1404"/>
        <w:gridCol w:w="1872"/>
      </w:tblGrid>
      <w:tr>
        <w:trPr>
          <w:tblHeader w:val="true"/>
        </w:trPr>
        <w:tc>
          <w:tcPr>
            <w:tcW w:w="656"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ID</w:t>
            </w:r>
          </w:p>
        </w:tc>
        <w:tc>
          <w:tcPr>
            <w:tcW w:w="2340"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Descripción del Riesgo</w:t>
            </w:r>
          </w:p>
        </w:tc>
        <w:tc>
          <w:tcPr>
            <w:tcW w:w="1216"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Categoría</w:t>
            </w:r>
          </w:p>
        </w:tc>
        <w:tc>
          <w:tcPr>
            <w:tcW w:w="936"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Probabilidad</w:t>
            </w:r>
          </w:p>
        </w:tc>
        <w:tc>
          <w:tcPr>
            <w:tcW w:w="936"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Impacto</w:t>
            </w:r>
          </w:p>
        </w:tc>
        <w:tc>
          <w:tcPr>
            <w:tcW w:w="1404"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Disparador (Trigger)</w:t>
            </w:r>
          </w:p>
        </w:tc>
        <w:tc>
          <w:tcPr>
            <w:tcW w:w="1872"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Estrategia de Mitigación / Contingencia</w:t>
            </w:r>
          </w:p>
          <w:p>
            <w:pPr>
              <w:pStyle w:val="Normal"/>
              <w:rPr>
                <w:sz w:val="16"/>
                <w:szCs w:val="16"/>
              </w:rPr>
            </w:pPr>
            <w:r>
              <w:rPr>
                <w:sz w:val="16"/>
                <w:szCs w:val="16"/>
              </w:rPr>
              <w:t xml:space="preserve"> </w:t>
            </w:r>
          </w:p>
        </w:tc>
      </w:tr>
      <w:tr>
        <w:trPr/>
        <w:tc>
          <w:tcPr>
            <w:tcW w:w="65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sz w:val="16"/>
                <w:szCs w:val="16"/>
              </w:rPr>
            </w:pPr>
            <w:r>
              <w:rPr>
                <w:b/>
                <w:bCs/>
                <w:sz w:val="16"/>
                <w:szCs w:val="16"/>
              </w:rPr>
            </w:r>
          </w:p>
        </w:tc>
        <w:tc>
          <w:tcPr>
            <w:tcW w:w="234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r>
          </w:p>
        </w:tc>
        <w:tc>
          <w:tcPr>
            <w:tcW w:w="121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color w:val="FF0000"/>
                <w:sz w:val="16"/>
                <w:szCs w:val="16"/>
              </w:rPr>
            </w:pPr>
            <w:r>
              <w:rPr>
                <w:b/>
                <w:bCs/>
                <w:color w:val="FF0000"/>
                <w:sz w:val="16"/>
                <w:szCs w:val="16"/>
              </w:rPr>
            </w:r>
          </w:p>
        </w:tc>
        <w:tc>
          <w:tcPr>
            <w:tcW w:w="140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r>
          </w:p>
        </w:tc>
        <w:tc>
          <w:tcPr>
            <w:tcW w:w="1872"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r>
          </w:p>
        </w:tc>
      </w:tr>
      <w:tr>
        <w:trPr/>
        <w:tc>
          <w:tcPr>
            <w:tcW w:w="65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sz w:val="16"/>
                <w:szCs w:val="16"/>
              </w:rPr>
            </w:pPr>
            <w:r>
              <w:rPr>
                <w:b/>
                <w:bCs/>
                <w:sz w:val="16"/>
                <w:szCs w:val="16"/>
              </w:rPr>
            </w:r>
          </w:p>
        </w:tc>
        <w:tc>
          <w:tcPr>
            <w:tcW w:w="2340"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121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color w:val="FFA500"/>
                <w:sz w:val="16"/>
                <w:szCs w:val="16"/>
              </w:rPr>
            </w:pPr>
            <w:r>
              <w:rPr>
                <w:b/>
                <w:bCs/>
                <w:color w:val="FFA500"/>
                <w:sz w:val="16"/>
                <w:szCs w:val="16"/>
              </w:rPr>
            </w:r>
          </w:p>
        </w:tc>
        <w:tc>
          <w:tcPr>
            <w:tcW w:w="1404"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1872"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r>
      <w:tr>
        <w:trPr/>
        <w:tc>
          <w:tcPr>
            <w:tcW w:w="65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sz w:val="16"/>
                <w:szCs w:val="16"/>
              </w:rPr>
            </w:pPr>
            <w:r>
              <w:rPr>
                <w:b/>
                <w:bCs/>
                <w:sz w:val="16"/>
                <w:szCs w:val="16"/>
              </w:rPr>
              <w:t>R01</w:t>
            </w:r>
          </w:p>
        </w:tc>
        <w:tc>
          <w:tcPr>
            <w:tcW w:w="234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b/>
                <w:bCs/>
                <w:sz w:val="16"/>
                <w:szCs w:val="16"/>
              </w:rPr>
              <w:t>Desalineación en el alcance de la interfaz.</w:t>
            </w:r>
            <w:r>
              <w:rPr>
                <w:sz w:val="16"/>
                <w:szCs w:val="16"/>
              </w:rPr>
              <w:t xml:space="preserve"> Que el maquetado del frontend añada excesiva complejidad visual y no se logre sincronizar a tiempo con la API para el 3 de junio.</w:t>
            </w:r>
          </w:p>
        </w:tc>
        <w:tc>
          <w:tcPr>
            <w:tcW w:w="121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Alcance</w:t>
            </w:r>
          </w:p>
        </w:tc>
        <w:tc>
          <w:tcPr>
            <w:tcW w:w="93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Media-Alta</w:t>
            </w:r>
          </w:p>
        </w:tc>
        <w:tc>
          <w:tcPr>
            <w:tcW w:w="93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color w:val="FF0000"/>
                <w:sz w:val="16"/>
                <w:szCs w:val="16"/>
              </w:rPr>
            </w:pPr>
            <w:r>
              <w:rPr>
                <w:b/>
                <w:bCs/>
                <w:color w:val="FF0000"/>
                <w:sz w:val="16"/>
                <w:szCs w:val="16"/>
              </w:rPr>
              <w:t>Alto</w:t>
            </w:r>
          </w:p>
        </w:tc>
        <w:tc>
          <w:tcPr>
            <w:tcW w:w="140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Inclusión de características estéticas secundarias que consumen el tiempo.</w:t>
            </w:r>
          </w:p>
        </w:tc>
        <w:tc>
          <w:tcPr>
            <w:tcW w:w="1872"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Priorizar estrictamente un Producto Mínimo Viable (MVP). Diseñar primero las vistas core de intercambio de bloques y dejar los añadidos avanzados para fases posteriores.</w:t>
            </w:r>
          </w:p>
        </w:tc>
      </w:tr>
      <w:tr>
        <w:trPr/>
        <w:tc>
          <w:tcPr>
            <w:tcW w:w="65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sz w:val="16"/>
                <w:szCs w:val="16"/>
              </w:rPr>
            </w:pPr>
            <w:r>
              <w:rPr>
                <w:b/>
                <w:bCs/>
                <w:sz w:val="16"/>
                <w:szCs w:val="16"/>
              </w:rPr>
            </w:r>
          </w:p>
        </w:tc>
        <w:tc>
          <w:tcPr>
            <w:tcW w:w="2340"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121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93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color w:val="FFA500"/>
                <w:sz w:val="16"/>
                <w:szCs w:val="16"/>
              </w:rPr>
            </w:pPr>
            <w:r>
              <w:rPr>
                <w:b/>
                <w:bCs/>
                <w:color w:val="FFA500"/>
                <w:sz w:val="16"/>
                <w:szCs w:val="16"/>
              </w:rPr>
            </w:r>
          </w:p>
        </w:tc>
        <w:tc>
          <w:tcPr>
            <w:tcW w:w="1404"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c>
          <w:tcPr>
            <w:tcW w:w="1872"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r>
          </w:p>
        </w:tc>
      </w:tr>
    </w:tbl>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Normal"/>
        <w:spacing w:before="300" w:after="375"/>
        <w:rPr>
          <w:sz w:val="16"/>
          <w:szCs w:val="16"/>
        </w:rPr>
      </w:pPr>
      <w:r>
        <w:rPr>
          <w:sz w:val="16"/>
          <w:szCs w:val="16"/>
        </w:rPr>
      </w:r>
    </w:p>
    <w:p>
      <w:pPr>
        <w:pStyle w:val="Heading2"/>
        <w:rPr/>
      </w:pPr>
      <w:r>
        <w:rPr/>
        <w:t>3. Tabla de Clasificación por Tipo de Riesgo</w:t>
      </w:r>
    </w:p>
    <w:p>
      <w:pPr>
        <w:pStyle w:val="Normal"/>
        <w:spacing w:before="0" w:after="225"/>
        <w:jc w:val="both"/>
        <w:rPr>
          <w:sz w:val="18"/>
          <w:szCs w:val="18"/>
        </w:rPr>
      </w:pPr>
      <w:r>
        <w:rPr/>
        <mc:AlternateContent>
          <mc:Choice Requires="wps">
            <w:drawing>
              <wp:inline distT="0" distB="0" distL="0" distR="0">
                <wp:extent cx="5943600" cy="19050"/>
                <wp:effectExtent l="0" t="0" r="0" b="142875"/>
                <wp:docPr id="4"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2.8pt;width:467.95pt;height:1.45pt;mso-wrap-style:none;v-text-anchor:middle;mso-position-vertical:top">
                <v:fill o:detectmouseclick="t" type="solid" color2="#5f5f5f"/>
                <v:stroke color="#3465a4" joinstyle="round" endcap="flat"/>
                <w10:wrap type="square"/>
              </v:rect>
            </w:pict>
          </mc:Fallback>
        </mc:AlternateContent>
      </w:r>
      <w:r>
        <w:rPr>
          <w:sz w:val="18"/>
          <w:szCs w:val="18"/>
        </w:rPr>
        <w:t xml:space="preserve">La siguiente estructura organiza las amenazas potenciales según los estándares metodológicos de la Ingeniería de Software, proveyendo un caso práctico aplicable de forma unívoca a la solución </w:t>
      </w:r>
      <w:r>
        <w:rPr>
          <w:sz w:val="18"/>
          <w:szCs w:val="18"/>
        </w:rPr>
        <w:t>Runwell</w:t>
      </w:r>
      <w:r>
        <w:rPr>
          <w:sz w:val="18"/>
          <w:szCs w:val="18"/>
        </w:rPr>
        <w:t xml:space="preserve"> planteada.</w:t>
      </w:r>
    </w:p>
    <w:tbl>
      <w:tblPr>
        <w:tblStyle w:val="a0"/>
        <w:tblW w:w="9360" w:type="dxa"/>
        <w:jc w:val="start"/>
        <w:tblInd w:w="0" w:type="dxa"/>
        <w:tblLayout w:type="fixed"/>
        <w:tblCellMar>
          <w:top w:w="120" w:type="dxa"/>
          <w:start w:w="120" w:type="dxa"/>
          <w:bottom w:w="120" w:type="dxa"/>
          <w:end w:w="120" w:type="dxa"/>
        </w:tblCellMar>
        <w:tblLook w:noHBand="1" w:noVBand="1" w:firstColumn="0" w:lastRow="0" w:lastColumn="0" w:firstRow="0" w:val="0600"/>
      </w:tblPr>
      <w:tblGrid>
        <w:gridCol w:w="2340"/>
        <w:gridCol w:w="3276"/>
        <w:gridCol w:w="3744"/>
      </w:tblGrid>
      <w:tr>
        <w:trPr>
          <w:tblHeader w:val="true"/>
        </w:trPr>
        <w:tc>
          <w:tcPr>
            <w:tcW w:w="2340"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Tipo de Riesgo</w:t>
            </w:r>
          </w:p>
        </w:tc>
        <w:tc>
          <w:tcPr>
            <w:tcW w:w="3276"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Definición Teórica en el Contexto</w:t>
            </w:r>
          </w:p>
        </w:tc>
        <w:tc>
          <w:tcPr>
            <w:tcW w:w="3744" w:type="dxa"/>
            <w:tcBorders>
              <w:top w:val="single" w:sz="6" w:space="0" w:color="DDDDDD"/>
              <w:start w:val="single" w:sz="6" w:space="0" w:color="DDDDDD"/>
              <w:bottom w:val="single" w:sz="6" w:space="0" w:color="DDDDDD"/>
              <w:end w:val="single" w:sz="6" w:space="0" w:color="DDDDDD"/>
            </w:tcBorders>
            <w:shd w:color="auto" w:fill="2B579A" w:val="clear"/>
          </w:tcPr>
          <w:p>
            <w:pPr>
              <w:pStyle w:val="Normal"/>
              <w:spacing w:before="120" w:after="120"/>
              <w:rPr>
                <w:b/>
                <w:bCs/>
                <w:color w:val="FFFFFF"/>
                <w:sz w:val="16"/>
                <w:szCs w:val="16"/>
              </w:rPr>
            </w:pPr>
            <w:r>
              <w:rPr>
                <w:b/>
                <w:bCs/>
                <w:color w:val="FFFFFF"/>
                <w:sz w:val="16"/>
                <w:szCs w:val="16"/>
              </w:rPr>
              <w:t>Ejemplo Práctico Aplicado al Sistema Runwell</w:t>
            </w:r>
          </w:p>
          <w:p>
            <w:pPr>
              <w:pStyle w:val="Normal"/>
              <w:rPr>
                <w:sz w:val="16"/>
                <w:szCs w:val="16"/>
              </w:rPr>
            </w:pPr>
            <w:r>
              <w:rPr>
                <w:sz w:val="16"/>
                <w:szCs w:val="16"/>
              </w:rPr>
              <w:t xml:space="preserve"> </w:t>
            </w:r>
          </w:p>
        </w:tc>
      </w:tr>
      <w:tr>
        <w:trPr/>
        <w:tc>
          <w:tcPr>
            <w:tcW w:w="234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sz w:val="16"/>
                <w:szCs w:val="16"/>
              </w:rPr>
            </w:pPr>
            <w:r>
              <w:rPr>
                <w:b/>
                <w:bCs/>
                <w:sz w:val="16"/>
                <w:szCs w:val="16"/>
              </w:rPr>
              <w:t>Riesgos Tecnológicos</w:t>
            </w:r>
          </w:p>
        </w:tc>
        <w:tc>
          <w:tcPr>
            <w:tcW w:w="327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Limitaciones, incompatibilidades o falta de dominio técnico sobre las herramientas de desarrollo elegidas para el backend, frontend o entorno de IA.</w:t>
            </w:r>
          </w:p>
        </w:tc>
        <w:tc>
          <w:tcPr>
            <w:tcW w:w="374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Que el framework seleccionado para construir la API no interactúe eficientemente con los objetos de datos compilados por el modelo de IA de entrenamiento.</w:t>
            </w:r>
          </w:p>
        </w:tc>
      </w:tr>
      <w:tr>
        <w:trPr/>
        <w:tc>
          <w:tcPr>
            <w:tcW w:w="2340"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sz w:val="16"/>
                <w:szCs w:val="16"/>
              </w:rPr>
            </w:pPr>
            <w:r>
              <w:rPr>
                <w:b/>
                <w:bCs/>
                <w:sz w:val="16"/>
                <w:szCs w:val="16"/>
              </w:rPr>
              <w:t>Riesgos de Requisitos</w:t>
            </w:r>
          </w:p>
        </w:tc>
        <w:tc>
          <w:tcPr>
            <w:tcW w:w="327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t>Ambigüedades en la definición de las funcionalidades del sistema, provocando que los programadores construyan flujos erróneos.</w:t>
            </w:r>
          </w:p>
        </w:tc>
        <w:tc>
          <w:tcPr>
            <w:tcW w:w="3744"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t>No definir de manera matemática o estructural los límites de un "Bloque de Rutina", provocando inconsistencias cuando el usuario desea realizar un cambio dinámico en tiempo real.</w:t>
            </w:r>
          </w:p>
        </w:tc>
      </w:tr>
      <w:tr>
        <w:trPr/>
        <w:tc>
          <w:tcPr>
            <w:tcW w:w="234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sz w:val="16"/>
                <w:szCs w:val="16"/>
              </w:rPr>
            </w:pPr>
            <w:r>
              <w:rPr>
                <w:b/>
                <w:bCs/>
                <w:sz w:val="16"/>
                <w:szCs w:val="16"/>
              </w:rPr>
              <w:t>Riesgos de Gestión / Calendario</w:t>
            </w:r>
          </w:p>
        </w:tc>
        <w:tc>
          <w:tcPr>
            <w:tcW w:w="327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Desviaciones temporales causadas por dependencias críticas mal resueltas dentro de la ruta del cronograma establecido.</w:t>
            </w:r>
          </w:p>
        </w:tc>
        <w:tc>
          <w:tcPr>
            <w:tcW w:w="374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No concluir la fase de Lógica de Rutinas el 20 de mayo, arrastrando un retraso inmediato sobre el diseño de la arquitectura de la base de datos y la interfaz.</w:t>
            </w:r>
          </w:p>
        </w:tc>
      </w:tr>
      <w:tr>
        <w:trPr/>
        <w:tc>
          <w:tcPr>
            <w:tcW w:w="2340"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b/>
                <w:bCs/>
                <w:sz w:val="16"/>
                <w:szCs w:val="16"/>
              </w:rPr>
            </w:pPr>
            <w:r>
              <w:rPr>
                <w:b/>
                <w:bCs/>
                <w:sz w:val="16"/>
                <w:szCs w:val="16"/>
              </w:rPr>
              <w:t>Riesgos de Arquitectura (POO)</w:t>
            </w:r>
          </w:p>
        </w:tc>
        <w:tc>
          <w:tcPr>
            <w:tcW w:w="3276"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t>Errores de diseño de software orientados a objetos que incrementan el acoplamiento y destruyen la modularidad del código fuente.</w:t>
            </w:r>
          </w:p>
        </w:tc>
        <w:tc>
          <w:tcPr>
            <w:tcW w:w="3744" w:type="dxa"/>
            <w:tcBorders>
              <w:top w:val="single" w:sz="6" w:space="0" w:color="DDDDDD"/>
              <w:start w:val="single" w:sz="6" w:space="0" w:color="DDDDDD"/>
              <w:bottom w:val="single" w:sz="6" w:space="0" w:color="DDDDDD"/>
              <w:end w:val="single" w:sz="6" w:space="0" w:color="DDDDDD"/>
            </w:tcBorders>
            <w:shd w:color="auto" w:fill="F9F9F9" w:val="clear"/>
          </w:tcPr>
          <w:p>
            <w:pPr>
              <w:pStyle w:val="Normal"/>
              <w:spacing w:before="120" w:after="120"/>
              <w:rPr>
                <w:sz w:val="16"/>
                <w:szCs w:val="16"/>
              </w:rPr>
            </w:pPr>
            <w:r>
              <w:rPr>
                <w:sz w:val="16"/>
                <w:szCs w:val="16"/>
              </w:rPr>
              <w:t>Implementar una herencia rígida donde la clase "Rutina" dependa estrictamente de la subclase "Carrera", impidiendo la flexibilidad de alternar a "Caminata Consciente" o sin romper la persistencia de datos.</w:t>
            </w:r>
          </w:p>
        </w:tc>
      </w:tr>
      <w:tr>
        <w:trPr/>
        <w:tc>
          <w:tcPr>
            <w:tcW w:w="2340"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b/>
                <w:bCs/>
                <w:sz w:val="16"/>
                <w:szCs w:val="16"/>
              </w:rPr>
            </w:pPr>
            <w:r>
              <w:rPr>
                <w:b/>
                <w:bCs/>
                <w:sz w:val="16"/>
                <w:szCs w:val="16"/>
              </w:rPr>
              <w:t>Riesgos de Seguridad y Privacidad</w:t>
            </w:r>
          </w:p>
        </w:tc>
        <w:tc>
          <w:tcPr>
            <w:tcW w:w="3276"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Vulnerabilidades expuestas en los canales de transferencia o almacenamiento de información sensible pertenecientes a los usuarios finales.</w:t>
            </w:r>
          </w:p>
        </w:tc>
        <w:tc>
          <w:tcPr>
            <w:tcW w:w="3744" w:type="dxa"/>
            <w:tcBorders>
              <w:top w:val="single" w:sz="6" w:space="0" w:color="DDDDDD"/>
              <w:start w:val="single" w:sz="6" w:space="0" w:color="DDDDDD"/>
              <w:bottom w:val="single" w:sz="6" w:space="0" w:color="DDDDDD"/>
              <w:end w:val="single" w:sz="6" w:space="0" w:color="DDDDDD"/>
            </w:tcBorders>
            <w:shd w:color="auto" w:fill="auto" w:val="clear"/>
          </w:tcPr>
          <w:p>
            <w:pPr>
              <w:pStyle w:val="Normal"/>
              <w:spacing w:before="120" w:after="120"/>
              <w:rPr>
                <w:sz w:val="16"/>
                <w:szCs w:val="16"/>
              </w:rPr>
            </w:pPr>
            <w:r>
              <w:rPr>
                <w:sz w:val="16"/>
                <w:szCs w:val="16"/>
              </w:rPr>
              <w:t>Falta de encriptación o tokenización en el backend que permita la filtración externa de datos de salud, geolocalización de rutas comunitarias o estadísticas físicas de los atletas.</w:t>
            </w:r>
          </w:p>
        </w:tc>
      </w:tr>
    </w:tbl>
    <w:p>
      <w:pPr>
        <w:pStyle w:val="Normal"/>
        <w:spacing w:lineRule="auto" w:line="276"/>
        <w:rPr>
          <w:sz w:val="16"/>
          <w:szCs w:val="16"/>
        </w:rPr>
      </w:pPr>
      <w:r>
        <w:rPr>
          <w:sz w:val="16"/>
          <w:szCs w:val="16"/>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FreeSans">
    <w:charset w:val="01" w:characterSet="utf-8"/>
    <w:family w:val="swiss"/>
    <w:pitch w:val="variable"/>
    <w:embedRegular r:id="rId5" w:fontKey="{05014A78-CABC-4EF0-12AC-5CD89AEFDE05}"/>
  </w:font>
  <w:font w:name="Georgia">
    <w:charset w:val="01" w:characterSet="utf-8"/>
    <w:family w:val="roman"/>
    <w:pitch w:val="variable"/>
    <w:embedItalic r:id="rId6" w:fontKey="{06014A78-CABC-4EF0-12AC-5CD89AEFDE06}"/>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VE" w:eastAsia="es-V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300" w:before="0" w:after="0"/>
      <w:jc w:val="start"/>
    </w:pPr>
    <w:rPr>
      <w:rFonts w:ascii="Arial" w:hAnsi="Arial" w:eastAsia="Arial" w:cs="Arial"/>
      <w:color w:val="auto"/>
      <w:kern w:val="0"/>
      <w:sz w:val="22"/>
      <w:szCs w:val="22"/>
      <w:lang w:val="es-VE" w:eastAsia="es-VE" w:bidi="ar-SA"/>
    </w:rPr>
  </w:style>
  <w:style w:type="paragraph" w:styleId="Heading1">
    <w:name w:val="heading 1"/>
    <w:basedOn w:val="Normal"/>
    <w:next w:val="Normal"/>
    <w:uiPriority w:val="9"/>
    <w:qFormat/>
    <w:pPr>
      <w:spacing w:before="240" w:after="75"/>
      <w:jc w:val="center"/>
      <w:outlineLvl w:val="0"/>
    </w:pPr>
    <w:rPr>
      <w:b/>
      <w:bCs/>
      <w:color w:val="2B579A"/>
      <w:sz w:val="36"/>
      <w:szCs w:val="36"/>
    </w:rPr>
  </w:style>
  <w:style w:type="paragraph" w:styleId="Heading2">
    <w:name w:val="heading 2"/>
    <w:basedOn w:val="Normal"/>
    <w:next w:val="Normal"/>
    <w:uiPriority w:val="9"/>
    <w:unhideWhenUsed/>
    <w:qFormat/>
    <w:pPr>
      <w:spacing w:before="375" w:after="300"/>
      <w:outlineLvl w:val="1"/>
    </w:pPr>
    <w:rPr>
      <w:b/>
      <w:bCs/>
      <w:color w:val="2B579A"/>
      <w:sz w:val="26"/>
      <w:szCs w:val="26"/>
    </w:rPr>
  </w:style>
  <w:style w:type="paragraph" w:styleId="Heading3">
    <w:name w:val="heading 3"/>
    <w:basedOn w:val="Normal"/>
    <w:next w:val="Normal"/>
    <w:uiPriority w:val="9"/>
    <w:semiHidden/>
    <w:unhideWhenUsed/>
    <w:qFormat/>
    <w:pPr>
      <w:spacing w:before="225" w:after="240"/>
      <w:outlineLvl w:val="2"/>
    </w:pPr>
    <w:rPr>
      <w:b/>
      <w:bCs/>
      <w:color w:val="333333"/>
    </w:rPr>
  </w:style>
  <w:style w:type="paragraph" w:styleId="Heading4">
    <w:name w:val="heading 4"/>
    <w:basedOn w:val="Normal"/>
    <w:next w:val="Normal"/>
    <w:uiPriority w:val="9"/>
    <w:semiHidden/>
    <w:unhideWhenUsed/>
    <w:qFormat/>
    <w:pPr>
      <w:spacing w:before="255" w:after="255"/>
      <w:outlineLvl w:val="3"/>
    </w:pPr>
    <w:rPr>
      <w:b/>
      <w:bCs/>
      <w:sz w:val="24"/>
      <w:szCs w:val="24"/>
    </w:rPr>
  </w:style>
  <w:style w:type="paragraph" w:styleId="Heading5">
    <w:name w:val="heading 5"/>
    <w:basedOn w:val="Normal"/>
    <w:next w:val="Normal"/>
    <w:uiPriority w:val="9"/>
    <w:semiHidden/>
    <w:unhideWhenUsed/>
    <w:qFormat/>
    <w:pPr>
      <w:spacing w:before="255" w:after="255"/>
      <w:outlineLvl w:val="4"/>
    </w:pPr>
    <w:rPr>
      <w:b/>
      <w:bCs/>
      <w:sz w:val="18"/>
      <w:szCs w:val="18"/>
    </w:rPr>
  </w:style>
  <w:style w:type="paragraph" w:styleId="Heading6">
    <w:name w:val="heading 6"/>
    <w:basedOn w:val="Normal"/>
    <w:next w:val="Normal"/>
    <w:uiPriority w:val="9"/>
    <w:semiHidden/>
    <w:unhideWhenUsed/>
    <w:qFormat/>
    <w:pPr>
      <w:spacing w:before="360" w:after="360"/>
      <w:outlineLvl w:val="5"/>
    </w:pPr>
    <w:rPr>
      <w:b/>
      <w:bCs/>
      <w:sz w:val="16"/>
      <w:szCs w:val="1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LibreOffice/26.2.6.3$Linux_X86_64 LibreOffice_project/620$Build-3</Application>
  <AppVersion>15.0000</AppVersion>
  <Pages>4</Pages>
  <Words>512</Words>
  <Characters>3029</Characters>
  <CharactersWithSpaces>3495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2026-05-22T13:29:00Z</dcterms:created>
  <dc:creator/>
  <dc:description/>
  <dc:language>en-US</dc:language>
  <cp:lastModifiedBy/>
  <dcterms:modified xsi:type="dcterms:W3CDTF">2026-10-06T21:11:55Z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