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ED129" w14:textId="147098A2" w:rsidR="000B6ED3" w:rsidRPr="000B6ED3" w:rsidRDefault="000B6ED3" w:rsidP="000B6ED3">
      <w:pPr>
        <w:rPr>
          <w:b/>
          <w:bCs/>
          <w:sz w:val="26"/>
          <w:szCs w:val="28"/>
        </w:rPr>
      </w:pPr>
      <w:r w:rsidRPr="000B6ED3">
        <w:rPr>
          <w:b/>
          <w:bCs/>
          <w:sz w:val="26"/>
          <w:szCs w:val="28"/>
        </w:rPr>
        <w:t xml:space="preserve">Indigenous Wild-Harvested Plants for Health: Principles, Proof, and Product Pathways </w:t>
      </w:r>
    </w:p>
    <w:p w14:paraId="3CD44F04" w14:textId="77777777" w:rsidR="000B6ED3" w:rsidRPr="000B6ED3" w:rsidRDefault="000B6ED3" w:rsidP="000B6ED3">
      <w:r w:rsidRPr="000B6ED3">
        <w:rPr>
          <w:b/>
          <w:bCs/>
        </w:rPr>
        <w:t>Indigenous wild harvest</w:t>
      </w:r>
      <w:r w:rsidRPr="000B6ED3">
        <w:t xml:space="preserve"> is the </w:t>
      </w:r>
      <w:r w:rsidRPr="000B6ED3">
        <w:rPr>
          <w:b/>
          <w:bCs/>
        </w:rPr>
        <w:t>community-led, place-based collection</w:t>
      </w:r>
      <w:r w:rsidRPr="000B6ED3">
        <w:t xml:space="preserve"> of non-cultivated species (plants/fungi) from their natural habitats, conducted under </w:t>
      </w:r>
      <w:r w:rsidRPr="000B6ED3">
        <w:rPr>
          <w:b/>
          <w:bCs/>
        </w:rPr>
        <w:t>Free, Prior and Informed Consent (FPIC)</w:t>
      </w:r>
      <w:r w:rsidRPr="000B6ED3">
        <w:t xml:space="preserve"> and </w:t>
      </w:r>
      <w:r w:rsidRPr="000B6ED3">
        <w:rPr>
          <w:b/>
          <w:bCs/>
        </w:rPr>
        <w:t>Access-and-Benefit-Sharing (ABS)</w:t>
      </w:r>
      <w:r w:rsidRPr="000B6ED3">
        <w:t xml:space="preserve"> with Indigenous rights-holders; it follows </w:t>
      </w:r>
      <w:r w:rsidRPr="000B6ED3">
        <w:rPr>
          <w:b/>
          <w:bCs/>
        </w:rPr>
        <w:t>Good Agricultural and Collection Practices (GACP)</w:t>
      </w:r>
      <w:r w:rsidRPr="000B6ED3">
        <w:t xml:space="preserve"> and </w:t>
      </w:r>
      <w:r w:rsidRPr="000B6ED3">
        <w:rPr>
          <w:b/>
          <w:bCs/>
        </w:rPr>
        <w:t>sustainable-use standards</w:t>
      </w:r>
      <w:r w:rsidRPr="000B6ED3">
        <w:t xml:space="preserve"> to protect species, habitats, and culture, and embeds </w:t>
      </w:r>
      <w:r w:rsidRPr="000B6ED3">
        <w:rPr>
          <w:b/>
          <w:bCs/>
        </w:rPr>
        <w:t>shared governance</w:t>
      </w:r>
      <w:r w:rsidRPr="000B6ED3">
        <w:t xml:space="preserve"> of knowledge, materials, data, and benefits across the value chain. </w:t>
      </w:r>
      <w:hyperlink r:id="rId5" w:tgtFrame="_blank" w:history="1">
        <w:r w:rsidRPr="000B6ED3">
          <w:rPr>
            <w:rStyle w:val="Hyperlink"/>
          </w:rPr>
          <w:t xml:space="preserve">United </w:t>
        </w:r>
        <w:proofErr w:type="spellStart"/>
        <w:r w:rsidRPr="000B6ED3">
          <w:rPr>
            <w:rStyle w:val="Hyperlink"/>
          </w:rPr>
          <w:t>Nations</w:t>
        </w:r>
      </w:hyperlink>
      <w:hyperlink r:id="rId6" w:tgtFrame="_blank" w:history="1">
        <w:r w:rsidRPr="000B6ED3">
          <w:rPr>
            <w:rStyle w:val="Hyperlink"/>
          </w:rPr>
          <w:t>Convention</w:t>
        </w:r>
        <w:proofErr w:type="spellEnd"/>
        <w:r w:rsidRPr="000B6ED3">
          <w:rPr>
            <w:rStyle w:val="Hyperlink"/>
          </w:rPr>
          <w:t xml:space="preserve"> on Biological </w:t>
        </w:r>
        <w:proofErr w:type="spellStart"/>
        <w:r w:rsidRPr="000B6ED3">
          <w:rPr>
            <w:rStyle w:val="Hyperlink"/>
          </w:rPr>
          <w:t>Diversity</w:t>
        </w:r>
      </w:hyperlink>
      <w:hyperlink r:id="rId7" w:tgtFrame="_blank" w:history="1">
        <w:r w:rsidRPr="000B6ED3">
          <w:rPr>
            <w:rStyle w:val="Hyperlink"/>
          </w:rPr>
          <w:t>World</w:t>
        </w:r>
        <w:proofErr w:type="spellEnd"/>
        <w:r w:rsidRPr="000B6ED3">
          <w:rPr>
            <w:rStyle w:val="Hyperlink"/>
          </w:rPr>
          <w:t xml:space="preserve"> Health </w:t>
        </w:r>
        <w:proofErr w:type="spellStart"/>
        <w:r w:rsidRPr="000B6ED3">
          <w:rPr>
            <w:rStyle w:val="Hyperlink"/>
          </w:rPr>
          <w:t>Organization</w:t>
        </w:r>
      </w:hyperlink>
      <w:hyperlink r:id="rId8" w:tgtFrame="_blank" w:history="1">
        <w:r w:rsidRPr="000B6ED3">
          <w:rPr>
            <w:rStyle w:val="Hyperlink"/>
          </w:rPr>
          <w:t>WWF</w:t>
        </w:r>
        <w:r w:rsidRPr="000B6ED3">
          <w:rPr>
            <w:rStyle w:val="Hyperlink"/>
            <w:rFonts w:ascii="MS Gothic" w:eastAsia="MS Gothic" w:hAnsi="MS Gothic" w:cs="MS Gothic" w:hint="eastAsia"/>
          </w:rPr>
          <w:t>ジャパン</w:t>
        </w:r>
        <w:proofErr w:type="spellEnd"/>
      </w:hyperlink>
    </w:p>
    <w:p w14:paraId="37E814D6" w14:textId="77777777" w:rsidR="000B6ED3" w:rsidRPr="000B6ED3" w:rsidRDefault="000B6ED3" w:rsidP="000B6ED3">
      <w:r w:rsidRPr="000B6ED3">
        <w:rPr>
          <w:b/>
          <w:bCs/>
        </w:rPr>
        <w:t>Why it matters.</w:t>
      </w:r>
      <w:r w:rsidRPr="000B6ED3">
        <w:t xml:space="preserve"> Indigenous food systems steward biodiversity and nutrient-dense “wild foods,” linking diet, social systems, and ecosystem health; these systems are proven reservoirs of safe foods and pharmacologically rich botanicals. Wild taxa often show </w:t>
      </w:r>
      <w:r w:rsidRPr="000B6ED3">
        <w:rPr>
          <w:b/>
          <w:bCs/>
        </w:rPr>
        <w:t>distinctive secondary-metabolite profiles</w:t>
      </w:r>
      <w:r w:rsidRPr="000B6ED3">
        <w:t xml:space="preserve"> (e.g., phenolics, flavonoids) shaped by environmental stressors—one reason for their long-standing therapeutic roles. </w:t>
      </w:r>
      <w:hyperlink r:id="rId9" w:tgtFrame="_blank" w:history="1">
        <w:r w:rsidRPr="000B6ED3">
          <w:rPr>
            <w:rStyle w:val="Hyperlink"/>
          </w:rPr>
          <w:t>FAOHome</w:t>
        </w:r>
      </w:hyperlink>
      <w:hyperlink r:id="rId10" w:tgtFrame="_blank" w:history="1">
        <w:r w:rsidRPr="000B6ED3">
          <w:rPr>
            <w:rStyle w:val="Hyperlink"/>
          </w:rPr>
          <w:t>PMC+1</w:t>
        </w:r>
      </w:hyperlink>
    </w:p>
    <w:p w14:paraId="5D741B0D" w14:textId="77777777" w:rsidR="000B6ED3" w:rsidRPr="000B6ED3" w:rsidRDefault="000B6ED3" w:rsidP="000B6ED3">
      <w:pPr>
        <w:rPr>
          <w:b/>
          <w:bCs/>
        </w:rPr>
      </w:pPr>
      <w:r w:rsidRPr="000B6ED3">
        <w:rPr>
          <w:b/>
          <w:bCs/>
        </w:rPr>
        <w:t>Fundamental principles for R&amp;D and commercialization</w:t>
      </w:r>
    </w:p>
    <w:p w14:paraId="4A3E9C3C" w14:textId="77777777" w:rsidR="000B6ED3" w:rsidRPr="000B6ED3" w:rsidRDefault="000B6ED3" w:rsidP="000B6ED3">
      <w:pPr>
        <w:numPr>
          <w:ilvl w:val="0"/>
          <w:numId w:val="1"/>
        </w:numPr>
      </w:pPr>
      <w:r w:rsidRPr="000B6ED3">
        <w:rPr>
          <w:b/>
          <w:bCs/>
        </w:rPr>
        <w:t>Rights &amp; relationships first.</w:t>
      </w:r>
      <w:r w:rsidRPr="000B6ED3">
        <w:t xml:space="preserve"> Respect </w:t>
      </w:r>
      <w:r w:rsidRPr="000B6ED3">
        <w:rPr>
          <w:b/>
          <w:bCs/>
        </w:rPr>
        <w:t>UNDRIP</w:t>
      </w:r>
      <w:r w:rsidRPr="000B6ED3">
        <w:t xml:space="preserve"> (FPIC, self-determination) and the </w:t>
      </w:r>
      <w:r w:rsidRPr="000B6ED3">
        <w:rPr>
          <w:b/>
          <w:bCs/>
        </w:rPr>
        <w:t>Nagoya Protocol</w:t>
      </w:r>
      <w:r w:rsidRPr="000B6ED3">
        <w:t xml:space="preserve"> (fair, equitable benefit-sharing) from scoping to post-market. Benefits should combine revenue-sharing, decision seats, and capacity-building. </w:t>
      </w:r>
      <w:hyperlink r:id="rId11" w:tgtFrame="_blank" w:history="1">
        <w:r w:rsidRPr="000B6ED3">
          <w:rPr>
            <w:rStyle w:val="Hyperlink"/>
          </w:rPr>
          <w:t xml:space="preserve">United </w:t>
        </w:r>
        <w:proofErr w:type="spellStart"/>
        <w:r w:rsidRPr="000B6ED3">
          <w:rPr>
            <w:rStyle w:val="Hyperlink"/>
          </w:rPr>
          <w:t>Nations</w:t>
        </w:r>
      </w:hyperlink>
      <w:hyperlink r:id="rId12" w:tgtFrame="_blank" w:history="1">
        <w:r w:rsidRPr="000B6ED3">
          <w:rPr>
            <w:rStyle w:val="Hyperlink"/>
          </w:rPr>
          <w:t>Convention</w:t>
        </w:r>
        <w:proofErr w:type="spellEnd"/>
        <w:r w:rsidRPr="000B6ED3">
          <w:rPr>
            <w:rStyle w:val="Hyperlink"/>
          </w:rPr>
          <w:t xml:space="preserve"> on Biological Diversity</w:t>
        </w:r>
      </w:hyperlink>
    </w:p>
    <w:p w14:paraId="5EFC93D2" w14:textId="77777777" w:rsidR="000B6ED3" w:rsidRPr="000B6ED3" w:rsidRDefault="000B6ED3" w:rsidP="000B6ED3">
      <w:pPr>
        <w:numPr>
          <w:ilvl w:val="0"/>
          <w:numId w:val="1"/>
        </w:numPr>
      </w:pPr>
      <w:r w:rsidRPr="000B6ED3">
        <w:rPr>
          <w:b/>
          <w:bCs/>
        </w:rPr>
        <w:t>Two-Eyed Seeing.</w:t>
      </w:r>
      <w:r w:rsidRPr="000B6ED3">
        <w:t xml:space="preserve"> Integrate Indigenous knowledge and Western science—co-define indications, culturally appropriate uses, and outcomes alongside lab analytics and clinical methods. </w:t>
      </w:r>
      <w:hyperlink r:id="rId13" w:tgtFrame="_blank" w:history="1">
        <w:r w:rsidRPr="000B6ED3">
          <w:rPr>
            <w:rStyle w:val="Hyperlink"/>
          </w:rPr>
          <w:t>PMC</w:t>
        </w:r>
      </w:hyperlink>
    </w:p>
    <w:p w14:paraId="1ABFB9F4" w14:textId="77777777" w:rsidR="000B6ED3" w:rsidRPr="000B6ED3" w:rsidRDefault="000B6ED3" w:rsidP="000B6ED3">
      <w:pPr>
        <w:numPr>
          <w:ilvl w:val="0"/>
          <w:numId w:val="1"/>
        </w:numPr>
      </w:pPr>
      <w:r w:rsidRPr="000B6ED3">
        <w:rPr>
          <w:b/>
          <w:bCs/>
        </w:rPr>
        <w:t>Sustainable, traceable collection.</w:t>
      </w:r>
      <w:r w:rsidRPr="000B6ED3">
        <w:t xml:space="preserve"> Apply </w:t>
      </w:r>
      <w:r w:rsidRPr="000B6ED3">
        <w:rPr>
          <w:b/>
          <w:bCs/>
        </w:rPr>
        <w:t>WHO GACP</w:t>
      </w:r>
      <w:r w:rsidRPr="000B6ED3">
        <w:t xml:space="preserve"> and </w:t>
      </w:r>
      <w:proofErr w:type="spellStart"/>
      <w:r w:rsidRPr="000B6ED3">
        <w:rPr>
          <w:b/>
          <w:bCs/>
        </w:rPr>
        <w:t>FairWild</w:t>
      </w:r>
      <w:proofErr w:type="spellEnd"/>
      <w:r w:rsidRPr="000B6ED3">
        <w:t xml:space="preserve">: resource assessments, no-take zones/rotations, collector safety, habitat protection, and full lot traceability. </w:t>
      </w:r>
      <w:hyperlink r:id="rId14" w:tgtFrame="_blank" w:history="1">
        <w:r w:rsidRPr="000B6ED3">
          <w:rPr>
            <w:rStyle w:val="Hyperlink"/>
          </w:rPr>
          <w:t xml:space="preserve">World Health </w:t>
        </w:r>
        <w:proofErr w:type="spellStart"/>
        <w:r w:rsidRPr="000B6ED3">
          <w:rPr>
            <w:rStyle w:val="Hyperlink"/>
          </w:rPr>
          <w:t>Organization</w:t>
        </w:r>
      </w:hyperlink>
      <w:hyperlink r:id="rId15" w:tgtFrame="_blank" w:history="1">
        <w:r w:rsidRPr="000B6ED3">
          <w:rPr>
            <w:rStyle w:val="Hyperlink"/>
          </w:rPr>
          <w:t>WWF</w:t>
        </w:r>
        <w:r w:rsidRPr="000B6ED3">
          <w:rPr>
            <w:rStyle w:val="Hyperlink"/>
            <w:rFonts w:ascii="MS Gothic" w:eastAsia="MS Gothic" w:hAnsi="MS Gothic" w:cs="MS Gothic" w:hint="eastAsia"/>
          </w:rPr>
          <w:t>ジャパン</w:t>
        </w:r>
        <w:proofErr w:type="spellEnd"/>
      </w:hyperlink>
      <w:hyperlink r:id="rId16" w:tgtFrame="_blank" w:history="1">
        <w:r w:rsidRPr="000B6ED3">
          <w:rPr>
            <w:rStyle w:val="Hyperlink"/>
          </w:rPr>
          <w:t>traffic.org</w:t>
        </w:r>
      </w:hyperlink>
    </w:p>
    <w:p w14:paraId="484D973D" w14:textId="77777777" w:rsidR="000B6ED3" w:rsidRPr="000B6ED3" w:rsidRDefault="000B6ED3" w:rsidP="000B6ED3">
      <w:pPr>
        <w:numPr>
          <w:ilvl w:val="0"/>
          <w:numId w:val="1"/>
        </w:numPr>
      </w:pPr>
      <w:r w:rsidRPr="000B6ED3">
        <w:rPr>
          <w:b/>
          <w:bCs/>
        </w:rPr>
        <w:t>Quality &amp; safety by design.</w:t>
      </w:r>
      <w:r w:rsidRPr="000B6ED3">
        <w:t xml:space="preserve"> Build pharmaco-/</w:t>
      </w:r>
      <w:proofErr w:type="spellStart"/>
      <w:r w:rsidRPr="000B6ED3">
        <w:t>nutri</w:t>
      </w:r>
      <w:proofErr w:type="spellEnd"/>
      <w:r w:rsidRPr="000B6ED3">
        <w:t xml:space="preserve">-vigilance and EFSA-style botanical risk assessment into development: correct ID (incl. </w:t>
      </w:r>
      <w:r w:rsidRPr="000B6ED3">
        <w:rPr>
          <w:b/>
          <w:bCs/>
        </w:rPr>
        <w:t>DNA barcoding</w:t>
      </w:r>
      <w:r w:rsidRPr="000B6ED3">
        <w:t xml:space="preserve"> when needed), validated marker assays (HPLC/LC-MS), contaminant limits, stability, and label accuracy. </w:t>
      </w:r>
      <w:hyperlink r:id="rId17" w:tgtFrame="_blank" w:history="1">
        <w:r w:rsidRPr="000B6ED3">
          <w:rPr>
            <w:rStyle w:val="Hyperlink"/>
          </w:rPr>
          <w:t xml:space="preserve">European Food Safety </w:t>
        </w:r>
        <w:proofErr w:type="spellStart"/>
        <w:r w:rsidRPr="000B6ED3">
          <w:rPr>
            <w:rStyle w:val="Hyperlink"/>
          </w:rPr>
          <w:t>Authority</w:t>
        </w:r>
      </w:hyperlink>
      <w:hyperlink r:id="rId18" w:tgtFrame="_blank" w:history="1">
        <w:r w:rsidRPr="000B6ED3">
          <w:rPr>
            <w:rStyle w:val="Hyperlink"/>
          </w:rPr>
          <w:t>PMC</w:t>
        </w:r>
        <w:proofErr w:type="spellEnd"/>
      </w:hyperlink>
    </w:p>
    <w:p w14:paraId="63AFD194" w14:textId="77777777" w:rsidR="000B6ED3" w:rsidRPr="000B6ED3" w:rsidRDefault="000B6ED3" w:rsidP="000B6ED3">
      <w:pPr>
        <w:numPr>
          <w:ilvl w:val="0"/>
          <w:numId w:val="1"/>
        </w:numPr>
      </w:pPr>
      <w:r w:rsidRPr="000B6ED3">
        <w:rPr>
          <w:b/>
          <w:bCs/>
        </w:rPr>
        <w:t>Evidence for claims.</w:t>
      </w:r>
      <w:r w:rsidRPr="000B6ED3">
        <w:t xml:space="preserve"> Follow the </w:t>
      </w:r>
      <w:r w:rsidRPr="000B6ED3">
        <w:rPr>
          <w:b/>
          <w:bCs/>
        </w:rPr>
        <w:t>WHO TCIM strategy</w:t>
      </w:r>
      <w:r w:rsidRPr="000B6ED3">
        <w:t xml:space="preserve"> and regional rules: use literature/traditional-use evidence where acceptable; generate new clinical or nutritional data for higher-level claims or special categories (e.g., FSMP). </w:t>
      </w:r>
      <w:hyperlink r:id="rId19" w:tgtFrame="_blank" w:history="1">
        <w:r w:rsidRPr="000B6ED3">
          <w:rPr>
            <w:rStyle w:val="Hyperlink"/>
          </w:rPr>
          <w:t>WHO Apps</w:t>
        </w:r>
      </w:hyperlink>
    </w:p>
    <w:p w14:paraId="6B081379" w14:textId="77777777" w:rsidR="000B6ED3" w:rsidRPr="000B6ED3" w:rsidRDefault="000B6ED3" w:rsidP="000B6ED3">
      <w:pPr>
        <w:rPr>
          <w:b/>
          <w:bCs/>
        </w:rPr>
      </w:pPr>
      <w:r w:rsidRPr="000B6ED3">
        <w:rPr>
          <w:b/>
          <w:bCs/>
        </w:rPr>
        <w:t>Characteristics of this emerging source of well-being</w:t>
      </w:r>
    </w:p>
    <w:p w14:paraId="2FDFFAB3" w14:textId="77777777" w:rsidR="000B6ED3" w:rsidRPr="000B6ED3" w:rsidRDefault="000B6ED3" w:rsidP="000B6ED3">
      <w:pPr>
        <w:numPr>
          <w:ilvl w:val="0"/>
          <w:numId w:val="2"/>
        </w:numPr>
      </w:pPr>
      <w:r w:rsidRPr="000B6ED3">
        <w:rPr>
          <w:b/>
          <w:bCs/>
        </w:rPr>
        <w:lastRenderedPageBreak/>
        <w:t>Biocultural grounding.</w:t>
      </w:r>
      <w:r w:rsidRPr="000B6ED3">
        <w:t xml:space="preserve"> Diet-health practices are embedded in land, ceremony, and seasonal cycles—conferring adherence and meaning beyond ingredients alone. </w:t>
      </w:r>
      <w:hyperlink r:id="rId20" w:tgtFrame="_blank" w:history="1">
        <w:proofErr w:type="spellStart"/>
        <w:r w:rsidRPr="000B6ED3">
          <w:rPr>
            <w:rStyle w:val="Hyperlink"/>
          </w:rPr>
          <w:t>FAOHome</w:t>
        </w:r>
        <w:proofErr w:type="spellEnd"/>
      </w:hyperlink>
    </w:p>
    <w:p w14:paraId="3EA174AD" w14:textId="77777777" w:rsidR="000B6ED3" w:rsidRPr="000B6ED3" w:rsidRDefault="000B6ED3" w:rsidP="000B6ED3">
      <w:pPr>
        <w:numPr>
          <w:ilvl w:val="0"/>
          <w:numId w:val="2"/>
        </w:numPr>
      </w:pPr>
      <w:r w:rsidRPr="000B6ED3">
        <w:rPr>
          <w:b/>
          <w:bCs/>
        </w:rPr>
        <w:t>Phytochemical richness with variability.</w:t>
      </w:r>
      <w:r w:rsidRPr="000B6ED3">
        <w:t xml:space="preserve"> Wild environments can enhance or shift bioactive profiles; rigorous specifications and batch-to-batch controls are essential. </w:t>
      </w:r>
      <w:hyperlink r:id="rId21" w:tgtFrame="_blank" w:history="1">
        <w:proofErr w:type="spellStart"/>
        <w:r w:rsidRPr="000B6ED3">
          <w:rPr>
            <w:rStyle w:val="Hyperlink"/>
          </w:rPr>
          <w:t>PMC</w:t>
        </w:r>
      </w:hyperlink>
      <w:hyperlink r:id="rId22" w:tgtFrame="_blank" w:history="1">
        <w:r w:rsidRPr="000B6ED3">
          <w:rPr>
            <w:rStyle w:val="Hyperlink"/>
          </w:rPr>
          <w:t>Wiley</w:t>
        </w:r>
        <w:proofErr w:type="spellEnd"/>
        <w:r w:rsidRPr="000B6ED3">
          <w:rPr>
            <w:rStyle w:val="Hyperlink"/>
          </w:rPr>
          <w:t xml:space="preserve"> Online Library</w:t>
        </w:r>
      </w:hyperlink>
    </w:p>
    <w:p w14:paraId="5305EDE8" w14:textId="77777777" w:rsidR="000B6ED3" w:rsidRPr="000B6ED3" w:rsidRDefault="000B6ED3" w:rsidP="000B6ED3">
      <w:pPr>
        <w:numPr>
          <w:ilvl w:val="0"/>
          <w:numId w:val="2"/>
        </w:numPr>
      </w:pPr>
      <w:r w:rsidRPr="000B6ED3">
        <w:rPr>
          <w:b/>
          <w:bCs/>
        </w:rPr>
        <w:t>High trust—if transparent.</w:t>
      </w:r>
      <w:r w:rsidRPr="000B6ED3">
        <w:t xml:space="preserve"> ABS documentation, Indigenous co-branding, third-party wild-collection standards, and open quality data earn patient/consumer trust. </w:t>
      </w:r>
      <w:hyperlink r:id="rId23" w:tgtFrame="_blank" w:history="1">
        <w:r w:rsidRPr="000B6ED3">
          <w:rPr>
            <w:rStyle w:val="Hyperlink"/>
          </w:rPr>
          <w:t>WWF</w:t>
        </w:r>
        <w:proofErr w:type="spellStart"/>
        <w:r w:rsidRPr="000B6ED3">
          <w:rPr>
            <w:rStyle w:val="Hyperlink"/>
            <w:rFonts w:ascii="MS Gothic" w:eastAsia="MS Gothic" w:hAnsi="MS Gothic" w:cs="MS Gothic" w:hint="eastAsia"/>
          </w:rPr>
          <w:t>ジャパン</w:t>
        </w:r>
        <w:proofErr w:type="spellEnd"/>
      </w:hyperlink>
    </w:p>
    <w:p w14:paraId="2584CE0D" w14:textId="77777777" w:rsidR="000B6ED3" w:rsidRPr="000B6ED3" w:rsidRDefault="000B6ED3" w:rsidP="000B6ED3">
      <w:pPr>
        <w:numPr>
          <w:ilvl w:val="0"/>
          <w:numId w:val="2"/>
        </w:numPr>
      </w:pPr>
      <w:r w:rsidRPr="000B6ED3">
        <w:rPr>
          <w:b/>
          <w:bCs/>
        </w:rPr>
        <w:t>Regulatory pluralism.</w:t>
      </w:r>
      <w:r w:rsidRPr="000B6ED3">
        <w:t xml:space="preserve"> The </w:t>
      </w:r>
      <w:r w:rsidRPr="000B6ED3">
        <w:rPr>
          <w:i/>
          <w:iCs/>
        </w:rPr>
        <w:t>same</w:t>
      </w:r>
      <w:r w:rsidRPr="000B6ED3">
        <w:t xml:space="preserve"> material may be a food supplement in one market, a listed medicine in another, or a traditional herbal medicinal product in the EU—choose the pathway that fits evidence, claims, and intended use. </w:t>
      </w:r>
      <w:hyperlink r:id="rId24" w:tgtFrame="_blank" w:history="1">
        <w:r w:rsidRPr="000B6ED3">
          <w:rPr>
            <w:rStyle w:val="Hyperlink"/>
          </w:rPr>
          <w:t>European Medicines Agency (EMA)</w:t>
        </w:r>
      </w:hyperlink>
    </w:p>
    <w:p w14:paraId="72E18A5B" w14:textId="77777777" w:rsidR="000B6ED3" w:rsidRPr="000B6ED3" w:rsidRDefault="000B6ED3" w:rsidP="000B6ED3">
      <w:pPr>
        <w:rPr>
          <w:b/>
          <w:bCs/>
        </w:rPr>
      </w:pPr>
      <w:r w:rsidRPr="000B6ED3">
        <w:rPr>
          <w:b/>
          <w:bCs/>
        </w:rPr>
        <w:t>From forest to finished goods: eligible product categories</w:t>
      </w:r>
    </w:p>
    <w:p w14:paraId="5185C9C1" w14:textId="77777777" w:rsidR="000B6ED3" w:rsidRPr="000B6ED3" w:rsidRDefault="000B6ED3" w:rsidP="000B6ED3">
      <w:r w:rsidRPr="000B6ED3">
        <w:rPr>
          <w:b/>
          <w:bCs/>
        </w:rPr>
        <w:t>A. Dietary / Food Supplements (core nutraceuticals).</w:t>
      </w:r>
      <w:r w:rsidRPr="000B6ED3">
        <w:br/>
        <w:t>Standardized extract capsules/tablets/</w:t>
      </w:r>
      <w:proofErr w:type="spellStart"/>
      <w:r w:rsidRPr="000B6ED3">
        <w:t>softgels</w:t>
      </w:r>
      <w:proofErr w:type="spellEnd"/>
      <w:r w:rsidRPr="000B6ED3">
        <w:t xml:space="preserve">; powders/drink mixes; gummies/chews; tinctures (hydroethanolic/glycerites); standardized single-herb or polyherbal blends reflecting traditional formulations. Govern with food-supplement rules and </w:t>
      </w:r>
      <w:r w:rsidRPr="000B6ED3">
        <w:rPr>
          <w:b/>
          <w:bCs/>
        </w:rPr>
        <w:t>EFSA botanical safety guidance</w:t>
      </w:r>
      <w:r w:rsidRPr="000B6ED3">
        <w:t xml:space="preserve"> in the EU. </w:t>
      </w:r>
      <w:hyperlink r:id="rId25" w:tgtFrame="_blank" w:history="1">
        <w:r w:rsidRPr="000B6ED3">
          <w:rPr>
            <w:rStyle w:val="Hyperlink"/>
          </w:rPr>
          <w:t>European Food Safety Authority</w:t>
        </w:r>
      </w:hyperlink>
    </w:p>
    <w:p w14:paraId="1499E554" w14:textId="77777777" w:rsidR="000B6ED3" w:rsidRPr="000B6ED3" w:rsidRDefault="000B6ED3" w:rsidP="000B6ED3">
      <w:r w:rsidRPr="000B6ED3">
        <w:rPr>
          <w:b/>
          <w:bCs/>
        </w:rPr>
        <w:t>B. Functional foods &amp; beverages.</w:t>
      </w:r>
      <w:r w:rsidRPr="000B6ED3">
        <w:br/>
        <w:t xml:space="preserve">RTD shots (adaptogenic/nootropic/digestive), bars/granolas/fortified snacks, culturally justified ferments, microencapsulated actives for bakery/dairy/alt-protein. Apply food law, novel-food checks, and GACP-to-factory traceability. </w:t>
      </w:r>
      <w:hyperlink r:id="rId26" w:tgtFrame="_blank" w:history="1">
        <w:r w:rsidRPr="000B6ED3">
          <w:rPr>
            <w:rStyle w:val="Hyperlink"/>
          </w:rPr>
          <w:t>European Food Safety Authority</w:t>
        </w:r>
      </w:hyperlink>
    </w:p>
    <w:p w14:paraId="6EFF96CA" w14:textId="77777777" w:rsidR="000B6ED3" w:rsidRPr="000B6ED3" w:rsidRDefault="000B6ED3" w:rsidP="000B6ED3">
      <w:r w:rsidRPr="000B6ED3">
        <w:rPr>
          <w:b/>
          <w:bCs/>
        </w:rPr>
        <w:t>C. Medical foods / Foods for Special Medical Purposes (FSMP).</w:t>
      </w:r>
      <w:r w:rsidRPr="000B6ED3">
        <w:br/>
        <w:t xml:space="preserve">For clinician-supervised dietary management of patients with needs unmet by normal diets; must meet EU definitions and be used under medical supervision—claims manage </w:t>
      </w:r>
      <w:r w:rsidRPr="000B6ED3">
        <w:rPr>
          <w:i/>
          <w:iCs/>
        </w:rPr>
        <w:t>nutritional requirements</w:t>
      </w:r>
      <w:r w:rsidRPr="000B6ED3">
        <w:t xml:space="preserve">, not disease treatment per se. </w:t>
      </w:r>
      <w:hyperlink r:id="rId27" w:tgtFrame="_blank" w:history="1">
        <w:r w:rsidRPr="000B6ED3">
          <w:rPr>
            <w:rStyle w:val="Hyperlink"/>
          </w:rPr>
          <w:t xml:space="preserve">Food </w:t>
        </w:r>
        <w:proofErr w:type="spellStart"/>
        <w:r w:rsidRPr="000B6ED3">
          <w:rPr>
            <w:rStyle w:val="Hyperlink"/>
          </w:rPr>
          <w:t>Safety</w:t>
        </w:r>
      </w:hyperlink>
      <w:hyperlink r:id="rId28" w:tgtFrame="_blank" w:history="1">
        <w:r w:rsidRPr="000B6ED3">
          <w:rPr>
            <w:rStyle w:val="Hyperlink"/>
          </w:rPr>
          <w:t>PMC</w:t>
        </w:r>
      </w:hyperlink>
      <w:hyperlink r:id="rId29" w:tgtFrame="_blank" w:history="1">
        <w:r w:rsidRPr="000B6ED3">
          <w:rPr>
            <w:rStyle w:val="Hyperlink"/>
          </w:rPr>
          <w:t>Inside</w:t>
        </w:r>
        <w:proofErr w:type="spellEnd"/>
        <w:r w:rsidRPr="000B6ED3">
          <w:rPr>
            <w:rStyle w:val="Hyperlink"/>
          </w:rPr>
          <w:t xml:space="preserve"> EU Life Sciences</w:t>
        </w:r>
      </w:hyperlink>
    </w:p>
    <w:p w14:paraId="5E48A3F7" w14:textId="77777777" w:rsidR="000B6ED3" w:rsidRPr="000B6ED3" w:rsidRDefault="000B6ED3" w:rsidP="000B6ED3">
      <w:r w:rsidRPr="000B6ED3">
        <w:rPr>
          <w:b/>
          <w:bCs/>
        </w:rPr>
        <w:t>D. Cosmeceuticals / Nutricosmetics.</w:t>
      </w:r>
      <w:r w:rsidRPr="000B6ED3">
        <w:br/>
        <w:t>“Beauty-from-within” supplements (skin/hair/collagen support) and topical adjuncts where traditional external use exists; regulate as cosmetics (topicals) or supplements (</w:t>
      </w:r>
      <w:proofErr w:type="spellStart"/>
      <w:r w:rsidRPr="000B6ED3">
        <w:t>ingestibles</w:t>
      </w:r>
      <w:proofErr w:type="spellEnd"/>
      <w:r w:rsidRPr="000B6ED3">
        <w:t xml:space="preserve">), with substantiation and safety files per category. </w:t>
      </w:r>
      <w:hyperlink r:id="rId30" w:tgtFrame="_blank" w:history="1">
        <w:r w:rsidRPr="000B6ED3">
          <w:rPr>
            <w:rStyle w:val="Hyperlink"/>
          </w:rPr>
          <w:t>European Food Safety Authority</w:t>
        </w:r>
      </w:hyperlink>
    </w:p>
    <w:p w14:paraId="23C719D1" w14:textId="77777777" w:rsidR="000B6ED3" w:rsidRPr="000B6ED3" w:rsidRDefault="000B6ED3" w:rsidP="000B6ED3">
      <w:r w:rsidRPr="000B6ED3">
        <w:rPr>
          <w:b/>
          <w:bCs/>
        </w:rPr>
        <w:t>E. Traditional Herbal Medicinal Products / Listed Medicines (jurisdiction-specific).</w:t>
      </w:r>
    </w:p>
    <w:p w14:paraId="28362DA9" w14:textId="77777777" w:rsidR="000B6ED3" w:rsidRPr="000B6ED3" w:rsidRDefault="000B6ED3" w:rsidP="000B6ED3">
      <w:pPr>
        <w:numPr>
          <w:ilvl w:val="0"/>
          <w:numId w:val="3"/>
        </w:numPr>
      </w:pPr>
      <w:r w:rsidRPr="000B6ED3">
        <w:rPr>
          <w:b/>
          <w:bCs/>
        </w:rPr>
        <w:t>EU THMPD</w:t>
      </w:r>
      <w:r w:rsidRPr="000B6ED3">
        <w:t xml:space="preserve"> simplified registration for long-standing traditional use. </w:t>
      </w:r>
      <w:hyperlink r:id="rId31" w:tgtFrame="_blank" w:history="1">
        <w:r w:rsidRPr="000B6ED3">
          <w:rPr>
            <w:rStyle w:val="Hyperlink"/>
          </w:rPr>
          <w:t>EUR-Lex</w:t>
        </w:r>
      </w:hyperlink>
    </w:p>
    <w:p w14:paraId="418271DA" w14:textId="77777777" w:rsidR="000B6ED3" w:rsidRPr="000B6ED3" w:rsidRDefault="000B6ED3" w:rsidP="000B6ED3">
      <w:pPr>
        <w:numPr>
          <w:ilvl w:val="0"/>
          <w:numId w:val="3"/>
        </w:numPr>
      </w:pPr>
      <w:r w:rsidRPr="000B6ED3">
        <w:rPr>
          <w:b/>
          <w:bCs/>
        </w:rPr>
        <w:lastRenderedPageBreak/>
        <w:t>Australia TGA</w:t>
      </w:r>
      <w:r w:rsidRPr="000B6ED3">
        <w:t xml:space="preserve"> “Listed medicines” (lower-risk complementary medicines) with permitted indications. </w:t>
      </w:r>
      <w:hyperlink r:id="rId32" w:tgtFrame="_blank" w:history="1">
        <w:r w:rsidRPr="000B6ED3">
          <w:rPr>
            <w:rStyle w:val="Hyperlink"/>
          </w:rPr>
          <w:t>Therapeutic Goods Administration (TGA)+1</w:t>
        </w:r>
      </w:hyperlink>
    </w:p>
    <w:p w14:paraId="4456A0A5" w14:textId="77777777" w:rsidR="000B6ED3" w:rsidRPr="000B6ED3" w:rsidRDefault="000B6ED3" w:rsidP="000B6ED3">
      <w:pPr>
        <w:numPr>
          <w:ilvl w:val="0"/>
          <w:numId w:val="3"/>
        </w:numPr>
      </w:pPr>
      <w:r w:rsidRPr="000B6ED3">
        <w:rPr>
          <w:b/>
          <w:bCs/>
        </w:rPr>
        <w:t>Canada NHPs</w:t>
      </w:r>
      <w:r w:rsidRPr="000B6ED3">
        <w:t xml:space="preserve"> under the </w:t>
      </w:r>
      <w:r w:rsidRPr="000B6ED3">
        <w:rPr>
          <w:b/>
          <w:bCs/>
        </w:rPr>
        <w:t>Natural Health Products Regulations</w:t>
      </w:r>
      <w:r w:rsidRPr="000B6ED3">
        <w:t xml:space="preserve"> with pre-market assessment and NPN. </w:t>
      </w:r>
      <w:hyperlink r:id="rId33" w:tgtFrame="_blank" w:history="1">
        <w:r w:rsidRPr="000B6ED3">
          <w:rPr>
            <w:rStyle w:val="Hyperlink"/>
          </w:rPr>
          <w:t xml:space="preserve">Government of </w:t>
        </w:r>
        <w:proofErr w:type="spellStart"/>
        <w:r w:rsidRPr="000B6ED3">
          <w:rPr>
            <w:rStyle w:val="Hyperlink"/>
          </w:rPr>
          <w:t>Canada</w:t>
        </w:r>
      </w:hyperlink>
      <w:hyperlink r:id="rId34" w:tgtFrame="_blank" w:history="1">
        <w:r w:rsidRPr="000B6ED3">
          <w:rPr>
            <w:rStyle w:val="Hyperlink"/>
          </w:rPr>
          <w:t>Justice</w:t>
        </w:r>
        <w:proofErr w:type="spellEnd"/>
        <w:r w:rsidRPr="000B6ED3">
          <w:rPr>
            <w:rStyle w:val="Hyperlink"/>
          </w:rPr>
          <w:t xml:space="preserve"> Laws Website</w:t>
        </w:r>
      </w:hyperlink>
    </w:p>
    <w:p w14:paraId="4A5DBBB9" w14:textId="77777777" w:rsidR="000B6ED3" w:rsidRPr="000B6ED3" w:rsidRDefault="000B6ED3" w:rsidP="000B6ED3">
      <w:pPr>
        <w:numPr>
          <w:ilvl w:val="0"/>
          <w:numId w:val="3"/>
        </w:numPr>
      </w:pPr>
      <w:r w:rsidRPr="000B6ED3">
        <w:rPr>
          <w:b/>
          <w:bCs/>
        </w:rPr>
        <w:t>India FSSAI/AYUSH</w:t>
      </w:r>
      <w:r w:rsidRPr="000B6ED3">
        <w:t xml:space="preserve"> frameworks for nutraceuticals and traditional systems (scope and operational updates ongoing). </w:t>
      </w:r>
      <w:hyperlink r:id="rId35" w:tgtFrame="_blank" w:history="1">
        <w:r w:rsidRPr="000B6ED3">
          <w:rPr>
            <w:rStyle w:val="Hyperlink"/>
          </w:rPr>
          <w:t xml:space="preserve">USDA </w:t>
        </w:r>
        <w:proofErr w:type="spellStart"/>
        <w:r w:rsidRPr="000B6ED3">
          <w:rPr>
            <w:rStyle w:val="Hyperlink"/>
          </w:rPr>
          <w:t>Apps</w:t>
        </w:r>
      </w:hyperlink>
      <w:hyperlink r:id="rId36" w:tgtFrame="_blank" w:history="1">
        <w:r w:rsidRPr="000B6ED3">
          <w:rPr>
            <w:rStyle w:val="Hyperlink"/>
          </w:rPr>
          <w:t>FAS</w:t>
        </w:r>
        <w:proofErr w:type="spellEnd"/>
        <w:r w:rsidRPr="000B6ED3">
          <w:rPr>
            <w:rStyle w:val="Hyperlink"/>
          </w:rPr>
          <w:t xml:space="preserve"> USDA</w:t>
        </w:r>
      </w:hyperlink>
    </w:p>
    <w:p w14:paraId="08F783A0" w14:textId="77777777" w:rsidR="000B6ED3" w:rsidRPr="000B6ED3" w:rsidRDefault="000B6ED3" w:rsidP="000B6ED3">
      <w:pPr>
        <w:rPr>
          <w:b/>
          <w:bCs/>
        </w:rPr>
      </w:pPr>
      <w:r w:rsidRPr="000B6ED3">
        <w:rPr>
          <w:b/>
          <w:bCs/>
        </w:rPr>
        <w:t>Safety net across all categories</w:t>
      </w:r>
    </w:p>
    <w:p w14:paraId="1A813551" w14:textId="77777777" w:rsidR="000B6ED3" w:rsidRPr="000B6ED3" w:rsidRDefault="000B6ED3" w:rsidP="000B6ED3">
      <w:r w:rsidRPr="000B6ED3">
        <w:t xml:space="preserve">Embed </w:t>
      </w:r>
      <w:r w:rsidRPr="000B6ED3">
        <w:rPr>
          <w:b/>
          <w:bCs/>
        </w:rPr>
        <w:t>post-market safety monitoring</w:t>
      </w:r>
      <w:r w:rsidRPr="000B6ED3">
        <w:t xml:space="preserve"> (herbal/</w:t>
      </w:r>
      <w:proofErr w:type="spellStart"/>
      <w:r w:rsidRPr="000B6ED3">
        <w:t>nutri</w:t>
      </w:r>
      <w:proofErr w:type="spellEnd"/>
      <w:r w:rsidRPr="000B6ED3">
        <w:t xml:space="preserve">-vigilance), adverse-event reporting, and periodic label/spec reviews; WHO provides templates to integrate herbal products into national pharmacovigilance systems. </w:t>
      </w:r>
      <w:hyperlink r:id="rId37" w:tgtFrame="_blank" w:history="1">
        <w:proofErr w:type="spellStart"/>
        <w:r w:rsidRPr="000B6ED3">
          <w:rPr>
            <w:rStyle w:val="Hyperlink"/>
          </w:rPr>
          <w:t>Iris</w:t>
        </w:r>
      </w:hyperlink>
      <w:hyperlink r:id="rId38" w:tgtFrame="_blank" w:history="1">
        <w:r w:rsidRPr="000B6ED3">
          <w:rPr>
            <w:rStyle w:val="Hyperlink"/>
          </w:rPr>
          <w:t>PMC</w:t>
        </w:r>
        <w:proofErr w:type="spellEnd"/>
      </w:hyperlink>
    </w:p>
    <w:p w14:paraId="69E733FF" w14:textId="77777777" w:rsidR="000B6ED3" w:rsidRPr="000B6ED3" w:rsidRDefault="000B6ED3" w:rsidP="000B6ED3">
      <w:r w:rsidRPr="000B6ED3">
        <w:rPr>
          <w:b/>
          <w:bCs/>
        </w:rPr>
        <w:t>Bottom line.</w:t>
      </w:r>
      <w:r w:rsidRPr="000B6ED3">
        <w:t xml:space="preserve"> Indigenous wild-harvested plants are a </w:t>
      </w:r>
      <w:proofErr w:type="spellStart"/>
      <w:r w:rsidRPr="000B6ED3">
        <w:rPr>
          <w:b/>
          <w:bCs/>
        </w:rPr>
        <w:t>bioculturally</w:t>
      </w:r>
      <w:proofErr w:type="spellEnd"/>
      <w:r w:rsidRPr="000B6ED3">
        <w:rPr>
          <w:b/>
          <w:bCs/>
        </w:rPr>
        <w:t xml:space="preserve"> rooted, phytochemically rich, and regulation-ready</w:t>
      </w:r>
      <w:r w:rsidRPr="000B6ED3">
        <w:t xml:space="preserve"> source of well-being—</w:t>
      </w:r>
      <w:r w:rsidRPr="000B6ED3">
        <w:rPr>
          <w:i/>
          <w:iCs/>
        </w:rPr>
        <w:t>when and only when</w:t>
      </w:r>
      <w:r w:rsidRPr="000B6ED3">
        <w:t xml:space="preserve"> programs are co-designed with Indigenous partners (FPIC/ABS), harvested sustainably (GACP/</w:t>
      </w:r>
      <w:proofErr w:type="spellStart"/>
      <w:r w:rsidRPr="000B6ED3">
        <w:t>FairWild</w:t>
      </w:r>
      <w:proofErr w:type="spellEnd"/>
      <w:r w:rsidRPr="000B6ED3">
        <w:t xml:space="preserve">), and developed with </w:t>
      </w:r>
      <w:r w:rsidRPr="000B6ED3">
        <w:rPr>
          <w:b/>
          <w:bCs/>
        </w:rPr>
        <w:t>two-eyed</w:t>
      </w:r>
      <w:r w:rsidRPr="000B6ED3">
        <w:t xml:space="preserve"> evidence standards from identity to clinical use.</w:t>
      </w:r>
    </w:p>
    <w:p w14:paraId="51876754" w14:textId="77777777" w:rsidR="00EF3261" w:rsidRDefault="00EF3261"/>
    <w:sectPr w:rsidR="00EF326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2B09"/>
    <w:multiLevelType w:val="multilevel"/>
    <w:tmpl w:val="80BC3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87EB3"/>
    <w:multiLevelType w:val="multilevel"/>
    <w:tmpl w:val="DF22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A232FB"/>
    <w:multiLevelType w:val="multilevel"/>
    <w:tmpl w:val="2BD2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767151">
    <w:abstractNumId w:val="0"/>
  </w:num>
  <w:num w:numId="2" w16cid:durableId="957294123">
    <w:abstractNumId w:val="1"/>
  </w:num>
  <w:num w:numId="3" w16cid:durableId="1374814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ED3"/>
    <w:rsid w:val="000B6ED3"/>
    <w:rsid w:val="008D4056"/>
    <w:rsid w:val="009D229D"/>
    <w:rsid w:val="00D1150A"/>
    <w:rsid w:val="00EF3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13177"/>
  <w15:chartTrackingRefBased/>
  <w15:docId w15:val="{3C1908F8-8D40-4773-A862-05E804639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E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6E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6E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mc.ncbi.nlm.nih.gov/articles/PMC8291645/?utm_source=chatgpt.com" TargetMode="External"/><Relationship Id="rId18" Type="http://schemas.openxmlformats.org/officeDocument/2006/relationships/hyperlink" Target="https://pmc.ncbi.nlm.nih.gov/articles/PMC5425840/?utm_source=chatgpt.com" TargetMode="External"/><Relationship Id="rId26" Type="http://schemas.openxmlformats.org/officeDocument/2006/relationships/hyperlink" Target="https://www.efsa.europa.eu/en/efsajournal/pub/1249?utm_source=chatgpt.com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pmc.ncbi.nlm.nih.gov/articles/PMC7174954/?utm_source=chatgpt.com" TargetMode="External"/><Relationship Id="rId34" Type="http://schemas.openxmlformats.org/officeDocument/2006/relationships/hyperlink" Target="https://laws-lois.justice.gc.ca/eng/regulations/sor-2003-196/?utm_source=chatgpt.com" TargetMode="External"/><Relationship Id="rId7" Type="http://schemas.openxmlformats.org/officeDocument/2006/relationships/hyperlink" Target="https://www.who.int/publications/i/item/9241546271?utm_source=chatgpt.com" TargetMode="External"/><Relationship Id="rId12" Type="http://schemas.openxmlformats.org/officeDocument/2006/relationships/hyperlink" Target="https://www.cbd.int/access-benefit-sharing?utm_source=chatgpt.com" TargetMode="External"/><Relationship Id="rId17" Type="http://schemas.openxmlformats.org/officeDocument/2006/relationships/hyperlink" Target="https://www.efsa.europa.eu/en/efsajournal/pub/1249?utm_source=chatgpt.com" TargetMode="External"/><Relationship Id="rId25" Type="http://schemas.openxmlformats.org/officeDocument/2006/relationships/hyperlink" Target="https://www.efsa.europa.eu/en/efsajournal/pub/1249?utm_source=chatgpt.com" TargetMode="External"/><Relationship Id="rId33" Type="http://schemas.openxmlformats.org/officeDocument/2006/relationships/hyperlink" Target="https://www.canada.ca/en/health-canada/services/drugs-health-products/natural-non-prescription/regulation.html?utm_source=chatgpt.com" TargetMode="External"/><Relationship Id="rId38" Type="http://schemas.openxmlformats.org/officeDocument/2006/relationships/hyperlink" Target="https://pmc.ncbi.nlm.nih.gov/articles/PMC3065161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traffic.org/site/assets/files/7436/traffic-fairwild-toolkit-case-study.pdf?utm_source=chatgpt.com" TargetMode="External"/><Relationship Id="rId20" Type="http://schemas.openxmlformats.org/officeDocument/2006/relationships/hyperlink" Target="https://www.fao.org/4/i0370e/i0370e.pdf?utm_source=chatgpt.com" TargetMode="External"/><Relationship Id="rId29" Type="http://schemas.openxmlformats.org/officeDocument/2006/relationships/hyperlink" Target="https://www.insideeulifesciences.com/2022/12/05/cjeu-clarifies-the-food-for-special-medical-purposes-definition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bd.int/access-benefit-sharing?utm_source=chatgpt.com" TargetMode="External"/><Relationship Id="rId11" Type="http://schemas.openxmlformats.org/officeDocument/2006/relationships/hyperlink" Target="https://www.un.org/development/desa/indigenouspeoples/wp-content/uploads/sites/19/2018/11/UNDRIP_E_web.pdf?utm_source=chatgpt.com" TargetMode="External"/><Relationship Id="rId24" Type="http://schemas.openxmlformats.org/officeDocument/2006/relationships/hyperlink" Target="https://www.ema.europa.eu/en/human-regulatory-overview/herbal-medicinal-products?utm_source=chatgpt.com" TargetMode="External"/><Relationship Id="rId32" Type="http://schemas.openxmlformats.org/officeDocument/2006/relationships/hyperlink" Target="https://www.tga.gov.au/products/medicines/non-prescription-medicines/listed-medicines/listed-complementary-medicines?utm_source=chatgpt.com" TargetMode="External"/><Relationship Id="rId37" Type="http://schemas.openxmlformats.org/officeDocument/2006/relationships/hyperlink" Target="https://iris.who.int/bitstream/handle/10665/43034/9241592214_eng.pdf?utm_source=chatgpt.com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www.un.org/development/desa/indigenouspeoples/wp-content/uploads/sites/19/2018/11/UNDRIP_E_web.pdf?utm_source=chatgpt.com" TargetMode="External"/><Relationship Id="rId15" Type="http://schemas.openxmlformats.org/officeDocument/2006/relationships/hyperlink" Target="https://www.wwf.or.jp/activities/data/FairWild-Standard-V2.pdf?utm_source=chatgpt.com" TargetMode="External"/><Relationship Id="rId23" Type="http://schemas.openxmlformats.org/officeDocument/2006/relationships/hyperlink" Target="https://www.wwf.or.jp/activities/data/FairWild-Standard-V2.pdf?utm_source=chatgpt.com" TargetMode="External"/><Relationship Id="rId28" Type="http://schemas.openxmlformats.org/officeDocument/2006/relationships/hyperlink" Target="https://pmc.ncbi.nlm.nih.gov/articles/PMC12079110/?utm_source=chatgpt.com" TargetMode="External"/><Relationship Id="rId36" Type="http://schemas.openxmlformats.org/officeDocument/2006/relationships/hyperlink" Target="https://www.fas.usda.gov/data/india-indias-fssai-rolls-out-re-operationalized-nutraceutical-regulations?utm_source=chatgpt.com" TargetMode="External"/><Relationship Id="rId10" Type="http://schemas.openxmlformats.org/officeDocument/2006/relationships/hyperlink" Target="https://pmc.ncbi.nlm.nih.gov/articles/PMC7174954/?utm_source=chatgpt.com" TargetMode="External"/><Relationship Id="rId19" Type="http://schemas.openxmlformats.org/officeDocument/2006/relationships/hyperlink" Target="https://apps.who.int/gb/ebwha/pdf_files/EB156/B156_16-en.pdf?utm_source=chatgpt.com" TargetMode="External"/><Relationship Id="rId31" Type="http://schemas.openxmlformats.org/officeDocument/2006/relationships/hyperlink" Target="https://eur-lex.europa.eu/eli/dir/2004/24/oj/eng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o.org/4/i0370e/i0370e.pdf?utm_source=chatgpt.com" TargetMode="External"/><Relationship Id="rId14" Type="http://schemas.openxmlformats.org/officeDocument/2006/relationships/hyperlink" Target="https://www.who.int/publications/i/item/9241546271?utm_source=chatgpt.com" TargetMode="External"/><Relationship Id="rId22" Type="http://schemas.openxmlformats.org/officeDocument/2006/relationships/hyperlink" Target="https://onlinelibrary.wiley.com/doi/10.1002/cbdv.202100345?utm_source=chatgpt.com" TargetMode="External"/><Relationship Id="rId27" Type="http://schemas.openxmlformats.org/officeDocument/2006/relationships/hyperlink" Target="https://food.ec.europa.eu/food-safety/labelling-and-nutrition/specific-groups/food-special-medical-purposes_en?utm_source=chatgpt.com" TargetMode="External"/><Relationship Id="rId30" Type="http://schemas.openxmlformats.org/officeDocument/2006/relationships/hyperlink" Target="https://www.efsa.europa.eu/en/efsajournal/pub/1249?utm_source=chatgpt.com" TargetMode="External"/><Relationship Id="rId35" Type="http://schemas.openxmlformats.org/officeDocument/2006/relationships/hyperlink" Target="https://apps.fas.usda.gov/newgainapi/api/Report/DownloadReportByFileName?fileName=For+the+Sake+of+Clarity+-+India%27s+FSSAI+Issues+Directive+on+Nutraceutical+Regulations_New+Delhi_India_IN2022-0034&amp;utm_source=chatgpt.com" TargetMode="External"/><Relationship Id="rId8" Type="http://schemas.openxmlformats.org/officeDocument/2006/relationships/hyperlink" Target="https://www.wwf.or.jp/activities/data/FairWild-Standard-V2.pdf?utm_source=chatgpt.com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1463</Words>
  <Characters>8342</Characters>
  <Application>Microsoft Office Word</Application>
  <DocSecurity>0</DocSecurity>
  <Lines>69</Lines>
  <Paragraphs>19</Paragraphs>
  <ScaleCrop>false</ScaleCrop>
  <Company/>
  <LinksUpToDate>false</LinksUpToDate>
  <CharactersWithSpaces>9786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 M</dc:creator>
  <cp:keywords/>
  <dc:description/>
  <cp:lastModifiedBy>To M</cp:lastModifiedBy>
  <cp:revision>1</cp:revision>
  <dcterms:created xsi:type="dcterms:W3CDTF">2025-08-16T09:04:00Z</dcterms:created>
  <dcterms:modified xsi:type="dcterms:W3CDTF">2025-08-16T09:05:00Z</dcterms:modified>
</cp:coreProperties>
</file>