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Pr>
          <w:rtl w:val="0"/>
        </w:rPr>
        <w:t xml:space="preserve">ALLEGATO 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Pr>
          <w:rtl w:val="0"/>
        </w:rPr>
        <w:t xml:space="preserve">CRITERI PER LA DETERMINAZIONE DEL FABBISOGNO RICONOSCIUTO E DELLE PRIORITÀ DI ASSEGNAZIONE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 – Finalità</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Pr>
          <w:rtl w:val="0"/>
        </w:rPr>
        <w:t xml:space="preserve">Il presente allegato disciplina i criteri utilizzati per la determinazione del fabbisogno riconosciuto delle associazioni sportive e per l’individuazione delle priorità da applicare nell’assegnazione delle fasce orarie disponibili presso gli impianti sportivi di competenza provinciale, con particolare riferimento alle palestre scolastiche.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Pr>
          <w:rtl w:val="0"/>
        </w:rPr>
        <w:t xml:space="preserve">Il sistema è finalizzato 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garantire il più ampio accesso possibile alla pratica sportiva;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riconoscere le differenti esigenze organizzative derivanti dai diversi livelli di attività sportiva;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assicurare una distribuzione equilibrata delle risorse disponibili;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evitare fenomeni di monopolizzazione degli impianti;</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valorizzare l’attività sportiva continuativa e radicata sul territorio;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Pr>
          <w:rtl w:val="0"/>
        </w:rPr>
        <w:t xml:space="preserve">scoraggiare richieste artificiosamente estese formulate al solo scopo di aumentare le probabilità di assegnazione.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Pr>
          <w:rtl w:val="0"/>
        </w:rPr>
        <w:t xml:space="preserve">L’assegnazione non avviene mediante graduatoria generale delle associazioni ma attraverso un procedimento progressivo basato sul livello di soddisfazione del fabbisogno riconosciuto.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A.2 – Definizioni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Pr>
          <w:rtl w:val="0"/>
        </w:rPr>
        <w:t xml:space="preserve">Ai fini del presente allegato si intende per: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Fabbisogno dichiarato (FD):</w:t>
      </w:r>
      <w:r>
        <w:rPr>
          <w:rtl w:val="0"/>
        </w:rPr>
        <w:t xml:space="preserve"> quantitativo temporale, espresso in minuti settimanali, richiesto dall’associazione.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Fabbisogno riconosciuto (FR):</w:t>
      </w:r>
      <w:r>
        <w:rPr>
          <w:rtl w:val="0"/>
        </w:rPr>
        <w:t xml:space="preserve"> valore teorico attribuito all’associazione ai fini dell’assegnazione, espresso in minuti settimanali.</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Valore assegnato (VA):</w:t>
      </w:r>
      <w:r>
        <w:rPr>
          <w:rtl w:val="0"/>
        </w:rPr>
        <w:t xml:space="preserve"> somma dei valori (espressi in minuti) attribuiti alle fasce effettivamente assegnate, tenendo conto delle eventuali maggiorazioni previste dall'allegato parametrico per le fasce pregiate.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Indice di soddisfazione del fabbisogno (ISF):</w:t>
      </w:r>
      <w:r>
        <w:rPr>
          <w:rtl w:val="0"/>
        </w:rPr>
        <w:t xml:space="preserve"> rapporto tra valore assegnato (VA) e fabbisogno riconosciuto (FR).</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Fascia pregiata:</w:t>
      </w:r>
      <w:r>
        <w:rPr>
          <w:rtl w:val="0"/>
        </w:rPr>
        <w:t xml:space="preserve"> fascia oraria individuata ai sensi dell’articolo A.8.</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Pr>
          <w:b w:val="1"/>
          <w:bCs w:val="1"/>
          <w:rtl w:val="0"/>
        </w:rPr>
        <w:t xml:space="preserve">Blocco gara:</w:t>
      </w:r>
      <w:r>
        <w:rPr>
          <w:rtl w:val="0"/>
        </w:rPr>
        <w:t xml:space="preserve"> fascia o insieme di fasce contigue destinate allo svolgimento delle competizioni ufficiali.</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Pr>
          <w:rtl w:val="0"/>
        </w:rPr>
        <w:t xml:space="preserve">Articolo A.3 – Classificazione delle attività</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Pr>
          <w:rtl w:val="0"/>
        </w:rPr>
        <w:t xml:space="preserve">I pesi base per la determinazione del fabbisogno (da convertire in minuti mediante i moltiplicatori definiti nell'allegato parametrico) sono classificati come segue: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Classe A – Attività motoria e ricreativa:</w:t>
      </w:r>
      <w:r>
        <w:rPr>
          <w:rtl w:val="0"/>
        </w:rPr>
        <w:t xml:space="preserve"> Attività non agonistiche, ricreative, sociali e finalizzate al benessere psicofisico. (Peso base = 1)</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Classe B – Attività sportiva organizzata non agonistica:</w:t>
      </w:r>
      <w:r>
        <w:rPr>
          <w:rtl w:val="0"/>
        </w:rPr>
        <w:t xml:space="preserve"> Attività sportive continuative non partecipanti a campionati ufficiali. (Peso base = 2)</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Classe C – Attività agonistica provinciale o regionale:</w:t>
      </w:r>
      <w:r>
        <w:rPr>
          <w:rtl w:val="0"/>
        </w:rPr>
        <w:t xml:space="preserve"> Associazioni partecipanti a campionati ufficiali provinciali o regionali. (Peso base = 2)</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Classe D – Attività agonistica interregionale:</w:t>
      </w:r>
      <w:r>
        <w:rPr>
          <w:rtl w:val="0"/>
        </w:rPr>
        <w:t xml:space="preserve"> Associazioni partecipanti a campionati ufficiali interregionali. (Peso base = 3)</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Pr>
          <w:b w:val="1"/>
          <w:bCs w:val="1"/>
          <w:rtl w:val="0"/>
        </w:rPr>
        <w:t xml:space="preserve">Classe E – Attività agonistica nazionale:</w:t>
      </w:r>
      <w:r>
        <w:rPr>
          <w:rtl w:val="0"/>
        </w:rPr>
        <w:t xml:space="preserve"> Associazioni partecipanti a campionati ufficiali nazionali. (Peso base = 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Pr>
          <w:rtl w:val="0"/>
        </w:rPr>
        <w:t xml:space="preserve">Per le associazioni che svolgono attività in più categorie si considera il livello più elevato.</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A.4 – Incremento per numero di squadre federali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Pr>
          <w:rtl w:val="0"/>
        </w:rPr>
        <w:t xml:space="preserve">Al fine di tenere conto della complessità organizzativa dell’associazione, il peso per il fabbisogno riconosciuto è incrementato in relazione al numero di squadre partecipanti a campionati ufficiali nella stagione sportiva precedente.</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Squadre federali</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Incremento Peso FR</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Nessuna squadra o 1 squadra</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Da 2 a 3 squadre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Da 4 a 6 squadre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+2</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Oltre 6 squadre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+3</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300" w:lineRule="auto"/>
        <w:rPr/>
      </w:pPr>
      <w:r>
        <w:rPr>
          <w:rtl w:val="0"/>
        </w:rPr>
        <w:t xml:space="preserve">Ai fini del presente articolo sono considerate esclusivamente le squadre effettivamente iscritte e partecipanti a campionati ufficiali organizzati da federazioni sportive riconosciute. Per le associazioni alla prima stagione sportiva l'incremento è attribuito in misura neutra (pari a 0), al fine di non generare penalizzazioni strutturali, secondo quanto definito in dettaglio nell'allegato parametrico.</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A.5 – Determinazione del fabbisogno riconosciuto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Pr>
          <w:rtl w:val="0"/>
        </w:rPr>
        <w:t xml:space="preserve">Il fabbisogno riconosciuto in minuti (FR) è determinato mediante la conversione del punteggio (Peso FR base + Incremento squadre) attraverso il moltiplicatore in minuti stabilito dall'allegato parametrico. Il fabbisogno riconosciuto non può in ogni caso essere superiore al fabbisogno dichiarato espresso in minuti.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Pr>
          <w:rtl w:val="0"/>
        </w:rPr>
        <w:t xml:space="preserve">Pertanto: FR finale = min(FD ; FR calcolato)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A.6 – Coefficiente di rilevanza sportiva (CRS)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Pr>
          <w:rtl w:val="0"/>
        </w:rPr>
        <w:t xml:space="preserve">Il coefficiente di rilevanza sportiva è utilizzato esclusivamente nelle situazioni di concorrenza tra richieste.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Pr>
          <w:rtl w:val="0"/>
        </w:rPr>
        <w:t xml:space="preserve">Le voci della tabella corrispondono alle classi di attività di cui all’articolo A.3. Per le associazioni di Classe C il coefficiente è differenziato in funzione del livello, provinciale o regionale, del campionato di riferimento; in caso di partecipazione a entrambi i livelli si applica il valore più elevato.</w:t>
      </w:r>
    </w:p>
    <w:tbl>
      <w:tblPr>
        <w:tblStyle w:val="Table2"/>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Attività</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CRS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A – Attività motoria e ricreativa</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1,00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B – Attività sportiva organizzata non agonistica</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1,10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C – Attività agonistica di livello provinciale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1,20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C – Attività agonistica di livello regionale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1,35</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D – Attività agonistica interregionale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1,60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Classe E – Attività agonistica nazionale</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2,00</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300" w:lineRule="auto"/>
        <w:rPr/>
      </w:pPr>
      <w:r>
        <w:rPr>
          <w:rtl w:val="0"/>
        </w:rPr>
        <w:t xml:space="preserve">Articolo A.7 – Coefficiente di anzianità associativa (CAA)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Pr>
          <w:rtl w:val="0"/>
        </w:rPr>
        <w:t xml:space="preserve">Al fine di valorizzare la continuità dell’attività sportiva sul territorio è attribuito il seguente coefficiente:</w:t>
      </w:r>
    </w:p>
    <w:tbl>
      <w:tblPr>
        <w:tblStyle w:val="Table3"/>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Anni di attività continuativa</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Pr>
                <w:b w:val="1"/>
                <w:bCs w:val="1"/>
                <w:shd w:fill="auto" w:val="clear"/>
                <w:rtl w:val="0"/>
              </w:rPr>
              <w:t xml:space="preserve">CAA</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Inferiore a 2 anni (esclusa la prima stagione, per la quale si applica il valore neutro)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0,90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Da 2 anni a meno di 5</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0,95</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Da 5 anni a meno di 10</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1,00</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Da 10 anni a meno di 20</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1,05</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20 anni o più</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rPr/>
            </w:pPr>
            <w:r>
              <w:rPr>
                <w:rtl w:val="0"/>
              </w:rPr>
              <w:t xml:space="preserve">1,10</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300" w:lineRule="auto"/>
        <w:rPr/>
      </w:pPr>
      <w:r>
        <w:rPr>
          <w:rtl w:val="0"/>
        </w:rPr>
        <w:t xml:space="preserve">Il coefficiente di anzianità non attribuisce diritti acquisiti e rileva esclusivamente nelle situazioni di parità. Per le associazioni alla prima stagione di partecipazione, il coefficiente di anzianità associativa è attribuito in misura neutra, secondo il valore (es. 1,00) indicato nell’allegato parametrico, al fine di tutelare l'accesso di nuove realtà associative.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A.8 – Fasce pregiate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Pr>
          <w:rtl w:val="0"/>
        </w:rPr>
        <w:t xml:space="preserve">Sono considerate pregiate le fasce orarie caratterizzate da maggiore domanda.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Giorni dal lunedì al venerdì:</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Pr>
          <w:rtl w:val="0"/>
        </w:rPr>
        <w:t xml:space="preserve">Per ciascun impianto e per ciascun giorno sono considerate pregiate le fasce che presentano la maggiore sovrapposizione con il periodo ordinario di massima richiesta compreso tra le ore 16:30 e le ore 19:30, secondo i dettagli operativi pubblicati assieme all'avviso.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Pr>
          <w:b w:val="1"/>
          <w:bCs w:val="1"/>
          <w:rtl w:val="0"/>
        </w:rPr>
        <w:t xml:space="preserve">Sabato e domenica: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Pr>
          <w:rtl w:val="0"/>
        </w:rPr>
        <w:t xml:space="preserve">Sono considerate pregiate le fasce individuate dall'Ente in base allo storico di utilizzo e preventivamente definite nell'allegato parametrico (es. fasce centrali mattutine o pomeridiane).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A.9 – Valore delle fasce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Pr>
          <w:rtl w:val="0"/>
        </w:rPr>
        <w:t xml:space="preserve">Ai fini del calcolo del soddisfacimento del fabbisogno, il Valore di una fascia è pari alla sua durata espressa in minuti, eventualmente moltiplicata per i coefficienti di ponderazione per le fasce pregiate, come stabiliti nell'allegato parametrico (es. moltiplicatore 1,25 o 1,50 per tenere conto del loro maggiore valore intrinseco).</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Pr>
          <w:rtl w:val="0"/>
        </w:rPr>
        <w:t xml:space="preserve">I valori sono utilizzati esclusivamente per il calcolo dell’indice di soddisfazione.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A.10 – Giornata di gara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Pr>
          <w:rtl w:val="0"/>
        </w:rPr>
        <w:t xml:space="preserve">Le associazioni partecipanti a campionati ufficiali possono richiedere l’assegnazione di un blocco gara.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Pr>
          <w:rtl w:val="0"/>
        </w:rPr>
        <w:t xml:space="preserve">La giornata di gara:</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non incrementa il fabbisogno riconosciuto originario;</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concorre per il suo intero ammontare di minuti (moltiplicato per i coefficienti applicabili) al soddisfacimento del fabbisogno;</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attribuisce il diritto all’assegnazione di fasce compatibili con lo svolgimento delle gare;</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ind w:left="600" w:hanging="360"/>
      </w:pPr>
      <w:r>
        <w:rPr>
          <w:rtl w:val="0"/>
        </w:rPr>
        <w:t xml:space="preserve">ove richiesto dalla disciplina praticata, attribuisce il diritto all’utilizzo della fascia immediatamente attigua.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Pr>
          <w:rtl w:val="0"/>
        </w:rPr>
        <w:t xml:space="preserve">L’effettiva assegnazione resta subordinata alla disponibilità di impianti compatibili e ai limiti di concentrazione (numero massimo di giornate di gara).</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A.11 – Coefficiente di selettività della domanda (CSD)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Pr>
          <w:rtl w:val="0"/>
        </w:rPr>
        <w:t xml:space="preserve">Al fine di scoraggiare richieste eccessivamente estese senza penalizzare comportamenti legittimi o strategici distorti, la formula esatta del Coefficiente di selettività della domanda (CSD) e i relativi scaglioni sono definiti nell'allegato parametrico previa simulazione da parte dell'Ente su casi realistici. Tale coefficiente valuta il rapporto tra fabbisogno dichiarato (FD) e riconosciuto (FR) per modulare le priorità in caso di richieste concorrenti, senza modificare il fabbisogno riconosciuto.</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A.12 – Coefficiente di priorità (CP)</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Pr>
          <w:rtl w:val="0"/>
        </w:rPr>
        <w:t xml:space="preserve">Il coefficiente di priorità è determinato mediante la seguente formula:</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Pr>
          <w:rtl w:val="0"/>
        </w:rPr>
        <w:t xml:space="preserve">CP = CRS × CAA × CSD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Pr>
          <w:rtl w:val="0"/>
        </w:rPr>
        <w:t xml:space="preserve">Il coefficiente è utilizzato esclusivamente per la risoluzione delle situazioni di concorrenza, unitamente alle preferenze, in caso di parità di ISF.</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A.13 – Indice di soddisfazione del fabbisogno (ISF)</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Pr>
          <w:rtl w:val="0"/>
        </w:rPr>
        <w:t xml:space="preserve">L’indice di soddisfazione del fabbisogno è determinato mediante la seguente formula: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Pr>
          <w:rtl w:val="0"/>
        </w:rPr>
        <w:t xml:space="preserve">ISF = VA / FR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Pr>
          <w:rtl w:val="0"/>
        </w:rPr>
        <w:t xml:space="preserve">dove: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600" w:hanging="360"/>
      </w:pPr>
      <w:r>
        <w:rPr>
          <w:rtl w:val="0"/>
        </w:rPr>
        <w:t xml:space="preserve">VA rappresenta il valore complessivo in minuti delle fasce assegnate, ponderate ove previsto;</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ind w:left="600" w:hanging="360"/>
      </w:pPr>
      <w:r>
        <w:rPr>
          <w:rtl w:val="0"/>
        </w:rPr>
        <w:t xml:space="preserve">FR rappresenta il fabbisogno riconosciuto in minuti settimanali.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Pr>
          <w:rtl w:val="0"/>
        </w:rPr>
        <w:t xml:space="preserve">L’associazione che presenta il valore ISF più basso ha priorità nell’assegnazione della fascia in esame, fermo restando il limite di una assegnazione per round previsto dall’Allegato B. L’ISF costituisce il principale criterio di assegnazione dell’intero sistema.</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A.14 – Ordine dei criteri di priorità</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Pr>
          <w:rtl w:val="0"/>
        </w:rPr>
        <w:t xml:space="preserve">Nelle situazioni di concorrenza tra richieste il sistema applica nell’ordine i seguenti criteri:</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minore indice di soddisfazione del fabbisogno (ISF);</w:t>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eventuale vincolo di contiguità o concentrazione su un impianto ove previsto dal regolamento operativo (Allegato B);</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maggiore livello di preferenza espresso per la fascia;</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maggiore coefficiente di priorità (CP);</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Pr>
          <w:rtl w:val="0"/>
        </w:rPr>
        <w:t xml:space="preserve">sorteggio tracciato.</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Pr>
          <w:rtl w:val="0"/>
        </w:rPr>
        <w:t xml:space="preserve">Articolo A.15 – Principio di equilibrio distributivo e compensazione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Pr>
          <w:rtl w:val="0"/>
        </w:rPr>
        <w:t xml:space="preserve">Nessuna associazione può conseguire il completo soddisfacimento del proprio fabbisogno riconosciuto quando esistano altre associazioni aventi titolo che presentino un indice di soddisfazione significativamente inferiore, secondo la soglia definita nell’allegato parametrico, e per le quali risultino ancora disponibili fasce compatibili.</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Pr>
          <w:rtl w:val="0"/>
        </w:rPr>
        <w:t xml:space="preserve">Tale principio, unitamente all'applicazione rigorosa dei limiti massimi di concentrazione trasversali, costituisce il fondamento del sistema di compensazione progressiva.</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Pr>
          <w:rtl w:val="0"/>
        </w:rPr>
        <w:t xml:space="preserve">Articolo A.16 – Principio di non monopolizzazione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Pr>
          <w:rtl w:val="0"/>
        </w:rPr>
        <w:t xml:space="preserve">I coefficienti previsti dal presente allegato sono finalizzati a riconoscere differenti esigenze organizzative senza attribuire posizioni dominanti nell’utilizzo degli impianti pubblici.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Pr>
          <w:rtl w:val="0"/>
        </w:rPr>
        <w:t xml:space="preserve">Nessuna associazione può vantare diritti acquisiti sugli spazi assegnati nelle stagioni precedenti. Il mancato utilizzo non giustificato rileva invece in ottica di decurtazione dei coefficienti di anzianità o priorità per la stagione successiva.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02124"/>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202124"/>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02124"/>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