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Пациентка </w:t>
      </w:r>
      <w:r>
        <w:rPr/>
        <w:t>66</w:t>
      </w:r>
      <w:r>
        <w:rPr/>
        <w:t xml:space="preserve"> 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Рак правой молочной железы (с) 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T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2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N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0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M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0. Состояние на фоне неоадъювантной химиотерапии 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 по схеме АС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 с 13</w:t>
      </w:r>
      <w:bookmarkStart w:id="0" w:name="_GoBack"/>
      <w:bookmarkEnd w:id="0"/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.12.2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025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 г., 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проведено 4 курса</w:t>
      </w:r>
    </w:p>
    <w:p>
      <w:pPr>
        <w:pStyle w:val="ListParagraph"/>
        <w:widowControl/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сопутствующий 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Хр. гастродуоденит вне обострения. 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kern w:val="0"/>
          <w:sz w:val="28"/>
          <w:lang w:val="ru-RU" w:eastAsia="ru-RU" w:bidi="ar-SA"/>
        </w:rPr>
        <w:t>По данным ГИ № от 17.11.20</w:t>
      </w:r>
      <w:r>
        <w:rPr>
          <w:kern w:val="0"/>
          <w:sz w:val="28"/>
          <w:lang w:val="ru-RU" w:eastAsia="ru-RU" w:bidi="ar-SA"/>
        </w:rPr>
        <w:t>25</w:t>
      </w:r>
      <w:r>
        <w:rPr>
          <w:kern w:val="0"/>
          <w:sz w:val="28"/>
          <w:lang w:val="ru-RU" w:eastAsia="ru-RU" w:bidi="ar-SA"/>
        </w:rPr>
        <w:t xml:space="preserve"> г. инвазивный неспецифицированный рак </w:t>
      </w:r>
      <w:r>
        <w:rPr>
          <w:kern w:val="0"/>
          <w:sz w:val="28"/>
          <w:lang w:val="en-US" w:eastAsia="ru-RU" w:bidi="ar-SA"/>
        </w:rPr>
        <w:t>G</w:t>
      </w:r>
      <w:r>
        <w:rPr>
          <w:kern w:val="0"/>
          <w:sz w:val="28"/>
          <w:lang w:val="ru-RU" w:eastAsia="ru-RU" w:bidi="ar-SA"/>
        </w:rPr>
        <w:t>2.</w:t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kern w:val="0"/>
          <w:sz w:val="28"/>
          <w:lang w:val="ru-RU" w:eastAsia="ru-RU" w:bidi="ar-SA"/>
        </w:rPr>
      </w:r>
    </w:p>
    <w:p>
      <w:pPr>
        <w:pStyle w:val="NormalWeb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kern w:val="0"/>
          <w:sz w:val="28"/>
          <w:lang w:val="ru-RU" w:eastAsia="ru-RU" w:bidi="ar-SA"/>
        </w:rPr>
        <w:t>По данным ИГХ №</w:t>
      </w:r>
      <w:r>
        <w:rPr>
          <w:kern w:val="0"/>
          <w:sz w:val="28"/>
          <w:lang w:val="ru-RU" w:eastAsia="ru-RU" w:bidi="ar-SA"/>
        </w:rPr>
        <w:t>___</w:t>
      </w:r>
      <w:r>
        <w:rPr>
          <w:kern w:val="0"/>
          <w:sz w:val="28"/>
          <w:lang w:val="ru-RU" w:eastAsia="ru-RU" w:bidi="ar-SA"/>
        </w:rPr>
        <w:t>от 17.11.20</w:t>
      </w:r>
      <w:r>
        <w:rPr>
          <w:kern w:val="0"/>
          <w:sz w:val="28"/>
          <w:lang w:val="ru-RU" w:eastAsia="ru-RU" w:bidi="ar-SA"/>
        </w:rPr>
        <w:t>25</w:t>
      </w:r>
      <w:r>
        <w:rPr>
          <w:kern w:val="0"/>
          <w:sz w:val="28"/>
          <w:lang w:val="ru-RU" w:eastAsia="ru-RU" w:bidi="ar-SA"/>
        </w:rPr>
        <w:t xml:space="preserve"> г: </w:t>
      </w:r>
      <w:r>
        <w:rPr>
          <w:kern w:val="0"/>
          <w:sz w:val="28"/>
          <w:lang w:val="en-US" w:eastAsia="ru-RU" w:bidi="ar-SA"/>
        </w:rPr>
        <w:t>ER</w:t>
      </w:r>
      <w:r>
        <w:rPr>
          <w:kern w:val="0"/>
          <w:sz w:val="28"/>
          <w:lang w:val="ru-RU" w:eastAsia="ru-RU" w:bidi="ar-SA"/>
        </w:rPr>
        <w:t xml:space="preserve"> 0%: </w:t>
      </w:r>
      <w:r>
        <w:rPr>
          <w:kern w:val="0"/>
          <w:sz w:val="28"/>
          <w:lang w:val="en-US" w:eastAsia="ru-RU" w:bidi="ar-SA"/>
        </w:rPr>
        <w:t>PR</w:t>
      </w:r>
      <w:r>
        <w:rPr>
          <w:kern w:val="0"/>
          <w:sz w:val="28"/>
          <w:lang w:val="ru-RU" w:eastAsia="ru-RU" w:bidi="ar-SA"/>
        </w:rPr>
        <w:t xml:space="preserve"> 0%: </w:t>
      </w:r>
      <w:r>
        <w:rPr>
          <w:kern w:val="0"/>
          <w:sz w:val="28"/>
          <w:lang w:val="en-US" w:eastAsia="ru-RU" w:bidi="ar-SA"/>
        </w:rPr>
        <w:t>HER</w:t>
      </w:r>
      <w:r>
        <w:rPr>
          <w:kern w:val="0"/>
          <w:sz w:val="28"/>
          <w:lang w:val="ru-RU" w:eastAsia="ru-RU" w:bidi="ar-SA"/>
        </w:rPr>
        <w:t xml:space="preserve">2 отсутствие мембранного окрашивания клеток, 0+, сверхэкспрессия негативная, </w:t>
      </w:r>
      <w:r>
        <w:rPr>
          <w:kern w:val="0"/>
          <w:sz w:val="28"/>
          <w:lang w:val="en-US" w:eastAsia="ru-RU" w:bidi="ar-SA"/>
        </w:rPr>
        <w:t>Ki</w:t>
      </w:r>
      <w:r>
        <w:rPr>
          <w:kern w:val="0"/>
          <w:sz w:val="28"/>
          <w:lang w:val="ru-RU" w:eastAsia="ru-RU" w:bidi="ar-SA"/>
        </w:rPr>
        <w:t>-67-85%.</w:t>
      </w:r>
    </w:p>
    <w:p>
      <w:pPr>
        <w:pStyle w:val="NormalWeb"/>
        <w:widowControl/>
        <w:bidi w:val="0"/>
        <w:spacing w:beforeAutospacing="0" w:before="0" w:afterAutospacing="0" w:after="0"/>
        <w:jc w:val="both"/>
        <w:rPr>
          <w:sz w:val="22"/>
          <w:szCs w:val="2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 xml:space="preserve">Выполнено молекулярно-генетическое исследование: обнаружена мутация в гене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en-US" w:eastAsia="ru-RU" w:bidi="ar-SA"/>
        </w:rPr>
        <w:t>BRCA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 xml:space="preserve"> 5382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en-US" w:eastAsia="ru-RU" w:bidi="ar-SA"/>
        </w:rPr>
        <w:t>insC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 xml:space="preserve"> от 28.10.2016г.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Обследована после 4 курса АС в объеме УЗИ молочных желез, УЗИ брюшной полости, малого таза, рентгенография ОГК — эффект — частичный регресс.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Devanaga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rFonts w:eastAsia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Базовый (user)"/>
    <w:qFormat/>
    <w:pPr>
      <w:widowControl/>
      <w:bidi w:val="0"/>
      <w:spacing w:lineRule="atLeast" w:line="0" w:before="0" w:after="0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LibreOffice/25.2.7.2$Linux_X86_64 LibreOffice_project/520$Build-2</Application>
  <AppVersion>15.0000</AppVersion>
  <Pages>1</Pages>
  <Words>91</Words>
  <Characters>580</Characters>
  <CharactersWithSpaces>666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2026-02-25T12:30:35Z</dcterms:modified>
  <cp:revision>8</cp:revision>
  <dc:subject/>
  <dc:title/>
</cp:coreProperties>
</file>