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Практическая работа: унификация при закупке SSD-накопителей</w:t>
      </w:r>
    </w:p>
    <w:p>
      <w:r>
        <w:t>Задание: подобрать партию SSD для IT-компании, указать 7 внешних систем и компонентов, с которыми должны быть совместимы накопители, и для каждого определить параметр унификации. Все ёмкости взяты из одного ряда, кратного 240 ГБ, что само по себе является унификацией типоразмерного ряда.</w:t>
      </w:r>
    </w:p>
    <w:p>
      <w:r>
        <w:rPr>
          <w:b/>
        </w:rPr>
        <w:t>Распределение накопителей по подразделениям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Отдел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Назначение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Ёмкость</w:t>
            </w:r>
          </w:p>
        </w:tc>
      </w:tr>
      <w:tr>
        <w:tc>
          <w:tcPr>
            <w:tcW w:type="dxa" w:w="2880"/>
          </w:tcPr>
          <w:p>
            <w:r>
              <w:t>Бухгалтерия</w:t>
            </w:r>
          </w:p>
        </w:tc>
        <w:tc>
          <w:tcPr>
            <w:tcW w:type="dxa" w:w="2880"/>
          </w:tcPr>
          <w:p>
            <w:r>
              <w:t>Офисные документы, 1С</w:t>
            </w:r>
          </w:p>
        </w:tc>
        <w:tc>
          <w:tcPr>
            <w:tcW w:type="dxa" w:w="2880"/>
          </w:tcPr>
          <w:p>
            <w:r>
              <w:t>240 ГБ</w:t>
            </w:r>
          </w:p>
        </w:tc>
      </w:tr>
      <w:tr>
        <w:tc>
          <w:tcPr>
            <w:tcW w:type="dxa" w:w="2880"/>
          </w:tcPr>
          <w:p>
            <w:r>
              <w:t>Отдел разработки</w:t>
            </w:r>
          </w:p>
        </w:tc>
        <w:tc>
          <w:tcPr>
            <w:tcW w:type="dxa" w:w="2880"/>
          </w:tcPr>
          <w:p>
            <w:r>
              <w:t>Код, контейнеры, СУБД</w:t>
            </w:r>
          </w:p>
        </w:tc>
        <w:tc>
          <w:tcPr>
            <w:tcW w:type="dxa" w:w="2880"/>
          </w:tcPr>
          <w:p>
            <w:r>
              <w:t>480 ГБ</w:t>
            </w:r>
          </w:p>
        </w:tc>
      </w:tr>
      <w:tr>
        <w:tc>
          <w:tcPr>
            <w:tcW w:type="dxa" w:w="2880"/>
          </w:tcPr>
          <w:p>
            <w:r>
              <w:t>Отдел дизайна</w:t>
            </w:r>
          </w:p>
        </w:tc>
        <w:tc>
          <w:tcPr>
            <w:tcW w:type="dxa" w:w="2880"/>
          </w:tcPr>
          <w:p>
            <w:r>
              <w:t>Графика, видео, макеты</w:t>
            </w:r>
          </w:p>
        </w:tc>
        <w:tc>
          <w:tcPr>
            <w:tcW w:type="dxa" w:w="2880"/>
          </w:tcPr>
          <w:p>
            <w:r>
              <w:t>960 ГБ</w:t>
            </w:r>
          </w:p>
        </w:tc>
      </w:tr>
      <w:tr>
        <w:tc>
          <w:tcPr>
            <w:tcW w:type="dxa" w:w="2880"/>
          </w:tcPr>
          <w:p>
            <w:r>
              <w:t>Серверный сегмент</w:t>
            </w:r>
          </w:p>
        </w:tc>
        <w:tc>
          <w:tcPr>
            <w:tcW w:type="dxa" w:w="2880"/>
          </w:tcPr>
          <w:p>
            <w:r>
              <w:t>Виртуальные машины, БД</w:t>
            </w:r>
          </w:p>
        </w:tc>
        <w:tc>
          <w:tcPr>
            <w:tcW w:type="dxa" w:w="2880"/>
          </w:tcPr>
          <w:p>
            <w:r>
              <w:t>1920 ГБ</w:t>
            </w:r>
          </w:p>
        </w:tc>
      </w:tr>
      <w:tr>
        <w:tc>
          <w:tcPr>
            <w:tcW w:type="dxa" w:w="2880"/>
          </w:tcPr>
          <w:p>
            <w:r>
              <w:t>Архивный сервер</w:t>
            </w:r>
          </w:p>
        </w:tc>
        <w:tc>
          <w:tcPr>
            <w:tcW w:type="dxa" w:w="2880"/>
          </w:tcPr>
          <w:p>
            <w:r>
              <w:t>Долговременное хранение</w:t>
            </w:r>
          </w:p>
        </w:tc>
        <w:tc>
          <w:tcPr>
            <w:tcW w:type="dxa" w:w="2880"/>
          </w:tcPr>
          <w:p>
            <w:r>
              <w:t>3840 ГБ</w:t>
            </w:r>
          </w:p>
        </w:tc>
      </w:tr>
    </w:tbl>
    <w:p/>
    <w:p>
      <w:r>
        <w:rPr>
          <w:b/>
        </w:rPr>
        <w:t>Внешние системы и компоненты, с которыми должны быть совместимы накопители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Компонент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Зачем нужна совместимость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Параметр унификации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Материнская плата</w:t>
            </w:r>
          </w:p>
        </w:tc>
        <w:tc>
          <w:tcPr>
            <w:tcW w:type="dxa" w:w="2160"/>
          </w:tcPr>
          <w:p>
            <w:r>
              <w:t>Накопитель должен физически устанавливаться в слот</w:t>
            </w:r>
          </w:p>
        </w:tc>
        <w:tc>
          <w:tcPr>
            <w:tcW w:type="dxa" w:w="2160"/>
          </w:tcPr>
          <w:p>
            <w:r>
              <w:t>Форм-фактор M.2 2280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Интерфейс PCI Express</w:t>
            </w:r>
          </w:p>
        </w:tc>
        <w:tc>
          <w:tcPr>
            <w:tcW w:type="dxa" w:w="2160"/>
          </w:tcPr>
          <w:p>
            <w:r>
              <w:t>Накопитель должен работать на полной скорости</w:t>
            </w:r>
          </w:p>
        </w:tc>
        <w:tc>
          <w:tcPr>
            <w:tcW w:type="dxa" w:w="2160"/>
          </w:tcPr>
          <w:p>
            <w:r>
              <w:t>Версия PCIe 4.0, число линий x4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Серверный backplane</w:t>
            </w:r>
          </w:p>
        </w:tc>
        <w:tc>
          <w:tcPr>
            <w:tcW w:type="dxa" w:w="2160"/>
          </w:tcPr>
          <w:p>
            <w:r>
              <w:t>Серверные накопители ставятся в корзины</w:t>
            </w:r>
          </w:p>
        </w:tc>
        <w:tc>
          <w:tcPr>
            <w:tcW w:type="dxa" w:w="2160"/>
          </w:tcPr>
          <w:p>
            <w:r>
              <w:t>Разъём U.2 / U.3, размер 2.5"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BIOS/UEFI</w:t>
            </w:r>
          </w:p>
        </w:tc>
        <w:tc>
          <w:tcPr>
            <w:tcW w:type="dxa" w:w="2160"/>
          </w:tcPr>
          <w:p>
            <w:r>
              <w:t>С накопителя должна загружаться система</w:t>
            </w:r>
          </w:p>
        </w:tc>
        <w:tc>
          <w:tcPr>
            <w:tcW w:type="dxa" w:w="2160"/>
          </w:tcPr>
          <w:p>
            <w:r>
              <w:t>Загрузка UEFI, таблица разделов GPT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Система охлаждения</w:t>
            </w:r>
          </w:p>
        </w:tc>
        <w:tc>
          <w:tcPr>
            <w:tcW w:type="dxa" w:w="2160"/>
          </w:tcPr>
          <w:p>
            <w:r>
              <w:t>NVMe-накопители сильно греются под нагрузкой</w:t>
            </w:r>
          </w:p>
        </w:tc>
        <w:tc>
          <w:tcPr>
            <w:tcW w:type="dxa" w:w="2160"/>
          </w:tcPr>
          <w:p>
            <w:r>
              <w:t>Рабочая температура до 70 °C, высота радиатора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Система резервного копирования</w:t>
            </w:r>
          </w:p>
        </w:tc>
        <w:tc>
          <w:tcPr>
            <w:tcW w:type="dxa" w:w="2160"/>
          </w:tcPr>
          <w:p>
            <w:r>
              <w:t>Серверы с БД и архив копируются по расписанию</w:t>
            </w:r>
          </w:p>
        </w:tc>
        <w:tc>
          <w:tcPr>
            <w:tcW w:type="dxa" w:w="2160"/>
          </w:tcPr>
          <w:p>
            <w:r>
              <w:t>Ресурс записи TBW / DWPD не ниже заданного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Система мониторинга</w:t>
            </w:r>
          </w:p>
        </w:tc>
        <w:tc>
          <w:tcPr>
            <w:tcW w:type="dxa" w:w="2160"/>
          </w:tcPr>
          <w:p>
            <w:r>
              <w:t>Состояние дисков отслеживается централизованно</w:t>
            </w:r>
          </w:p>
        </w:tc>
        <w:tc>
          <w:tcPr>
            <w:tcW w:type="dxa" w:w="2160"/>
          </w:tcPr>
          <w:p>
            <w:r>
              <w:t>Поддержка S.M.A.R.T.</w:t>
            </w:r>
          </w:p>
        </w:tc>
      </w:tr>
    </w:tbl>
    <w:p/>
    <w:p>
      <w:r>
        <w:t>Вывод: при закупке SSD унифицируются форм-фактор, интерфейс, режим загрузки, тепловые характеристики, ресурс записи и средства диагностики. Это сокращает число разных моделей, упрощает обслуживание и позволяет заменять накопители без переделки оборудования.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