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Техническое задание на закупку SSD-накопителей</w:t>
      </w:r>
    </w:p>
    <w:p>
      <w:r>
        <w:t>Чтобы не закупать разные линейки, все ёмкости приведены к двоичному ряду 256/512/1024/2048/4096 ГБ.</w:t>
      </w:r>
    </w:p>
    <w:p>
      <w:r>
        <w:rPr>
          <w:b/>
        </w:rPr>
        <w:t>Распределение накопителей по подразделениям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Подразделение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Ёмкость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Интерфейс и форм-фактор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2160"/>
          </w:tcPr>
          <w:p>
            <w:r>
              <w:t>Бухгалтерия</w:t>
            </w:r>
          </w:p>
        </w:tc>
        <w:tc>
          <w:tcPr>
            <w:tcW w:type="dxa" w:w="2160"/>
          </w:tcPr>
          <w:p>
            <w:r>
              <w:t>256 ГБ</w:t>
            </w:r>
          </w:p>
        </w:tc>
        <w:tc>
          <w:tcPr>
            <w:tcW w:type="dxa" w:w="2160"/>
          </w:tcPr>
          <w:p>
            <w:r>
              <w:t>SATA III, 2.5"</w:t>
            </w:r>
          </w:p>
        </w:tc>
        <w:tc>
          <w:tcPr>
            <w:tcW w:type="dxa" w:w="2160"/>
          </w:tcPr>
          <w:p>
            <w:r>
              <w:t>Хватает для офисных документов и 1С</w:t>
            </w:r>
          </w:p>
        </w:tc>
      </w:tr>
      <w:tr>
        <w:tc>
          <w:tcPr>
            <w:tcW w:type="dxa" w:w="2160"/>
          </w:tcPr>
          <w:p>
            <w:r>
              <w:t>Отдел разработки</w:t>
            </w:r>
          </w:p>
        </w:tc>
        <w:tc>
          <w:tcPr>
            <w:tcW w:type="dxa" w:w="2160"/>
          </w:tcPr>
          <w:p>
            <w:r>
              <w:t>512 ГБ</w:t>
            </w:r>
          </w:p>
        </w:tc>
        <w:tc>
          <w:tcPr>
            <w:tcW w:type="dxa" w:w="2160"/>
          </w:tcPr>
          <w:p>
            <w:r>
              <w:t>NVMe, M.2 2280</w:t>
            </w:r>
          </w:p>
        </w:tc>
        <w:tc>
          <w:tcPr>
            <w:tcW w:type="dxa" w:w="2160"/>
          </w:tcPr>
          <w:p>
            <w:r>
              <w:t>Быстрая работа с кодом, контейнерами и СУБД</w:t>
            </w:r>
          </w:p>
        </w:tc>
      </w:tr>
      <w:tr>
        <w:tc>
          <w:tcPr>
            <w:tcW w:type="dxa" w:w="2160"/>
          </w:tcPr>
          <w:p>
            <w:r>
              <w:t>Отдел дизайна</w:t>
            </w:r>
          </w:p>
        </w:tc>
        <w:tc>
          <w:tcPr>
            <w:tcW w:type="dxa" w:w="2160"/>
          </w:tcPr>
          <w:p>
            <w:r>
              <w:t>1024 ГБ</w:t>
            </w:r>
          </w:p>
        </w:tc>
        <w:tc>
          <w:tcPr>
            <w:tcW w:type="dxa" w:w="2160"/>
          </w:tcPr>
          <w:p>
            <w:r>
              <w:t>NVMe, M.2 2280</w:t>
            </w:r>
          </w:p>
        </w:tc>
        <w:tc>
          <w:tcPr>
            <w:tcW w:type="dxa" w:w="2160"/>
          </w:tcPr>
          <w:p>
            <w:r>
              <w:t>Высокая скорость чтения и записи для видео и графики</w:t>
            </w:r>
          </w:p>
        </w:tc>
      </w:tr>
      <w:tr>
        <w:tc>
          <w:tcPr>
            <w:tcW w:type="dxa" w:w="2160"/>
          </w:tcPr>
          <w:p>
            <w:r>
              <w:t>Серверный сегмент</w:t>
            </w:r>
          </w:p>
        </w:tc>
        <w:tc>
          <w:tcPr>
            <w:tcW w:type="dxa" w:w="2160"/>
          </w:tcPr>
          <w:p>
            <w:r>
              <w:t>2048 ГБ</w:t>
            </w:r>
          </w:p>
        </w:tc>
        <w:tc>
          <w:tcPr>
            <w:tcW w:type="dxa" w:w="2160"/>
          </w:tcPr>
          <w:p>
            <w:r>
              <w:t>NVMe, U.2</w:t>
            </w:r>
          </w:p>
        </w:tc>
        <w:tc>
          <w:tcPr>
            <w:tcW w:type="dxa" w:w="2160"/>
          </w:tcPr>
          <w:p>
            <w:r>
              <w:t>Нагрузка от виртуальных машин и баз данных</w:t>
            </w:r>
          </w:p>
        </w:tc>
      </w:tr>
      <w:tr>
        <w:tc>
          <w:tcPr>
            <w:tcW w:type="dxa" w:w="2160"/>
          </w:tcPr>
          <w:p>
            <w:r>
              <w:t>Архивный сервер</w:t>
            </w:r>
          </w:p>
        </w:tc>
        <w:tc>
          <w:tcPr>
            <w:tcW w:type="dxa" w:w="2160"/>
          </w:tcPr>
          <w:p>
            <w:r>
              <w:t>4096 ГБ</w:t>
            </w:r>
          </w:p>
        </w:tc>
        <w:tc>
          <w:tcPr>
            <w:tcW w:type="dxa" w:w="2160"/>
          </w:tcPr>
          <w:p>
            <w:r>
              <w:t>SATA, 2.5"</w:t>
            </w:r>
          </w:p>
        </w:tc>
        <w:tc>
          <w:tcPr>
            <w:tcW w:type="dxa" w:w="2160"/>
          </w:tcPr>
          <w:p>
            <w:r>
              <w:t>Большой объём при невысоких требованиях к скорости</w:t>
            </w:r>
          </w:p>
        </w:tc>
      </w:tr>
    </w:tbl>
    <w:p/>
    <w:p>
      <w:r>
        <w:rPr>
          <w:b/>
        </w:rPr>
        <w:t>Внешние системы и компоненты, с которыми должны быть совместимы накопители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Система или компонент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Что унифицируется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Разъёмы на материнских платах ПК</w:t>
            </w:r>
          </w:p>
        </w:tc>
        <w:tc>
          <w:tcPr>
            <w:tcW w:type="dxa" w:w="2880"/>
          </w:tcPr>
          <w:p>
            <w:r>
              <w:t>Форм-фактор: M.2 2280 для NVMe, 2.5" для SATA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Интерфейс подключения</w:t>
            </w:r>
          </w:p>
        </w:tc>
        <w:tc>
          <w:tcPr>
            <w:tcW w:type="dxa" w:w="2880"/>
          </w:tcPr>
          <w:p>
            <w:r>
              <w:t>Стандарт интерфейса: PCIe 4.0 NVMe / SATA III 6 Гбит/с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Блок питания</w:t>
            </w:r>
          </w:p>
        </w:tc>
        <w:tc>
          <w:tcPr>
            <w:tcW w:type="dxa" w:w="2880"/>
          </w:tcPr>
          <w:p>
            <w:r>
              <w:t>Тип разъёма и напряжение: SATA 15-pin 5 В, для U.2 12 В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Серверные корзины и салазки</w:t>
            </w:r>
          </w:p>
        </w:tc>
        <w:tc>
          <w:tcPr>
            <w:tcW w:type="dxa" w:w="2880"/>
          </w:tcPr>
          <w:p>
            <w:r>
              <w:t>Высота корпуса накопителя 7 или 15 мм, горячая замена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RAID-контроллер</w:t>
            </w:r>
          </w:p>
        </w:tc>
        <w:tc>
          <w:tcPr>
            <w:tcW w:type="dxa" w:w="2880"/>
          </w:tcPr>
          <w:p>
            <w:r>
              <w:t>Поддерживаемый протокол и размер сектора 512e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Операционная система</w:t>
            </w:r>
          </w:p>
        </w:tc>
        <w:tc>
          <w:tcPr>
            <w:tcW w:type="dxa" w:w="2880"/>
          </w:tcPr>
          <w:p>
            <w:r>
              <w:t>Поддержка TRIM и работа без сторонних драйверов (Windows 10/11, Linux)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Средства шифрования и защиты данных</w:t>
            </w:r>
          </w:p>
        </w:tc>
        <w:tc>
          <w:tcPr>
            <w:tcW w:type="dxa" w:w="2880"/>
          </w:tcPr>
          <w:p>
            <w:r>
              <w:t>Стандарт аппаратного шифрования TCG Opal 2.0</w:t>
            </w:r>
          </w:p>
        </w:tc>
      </w:tr>
    </w:tbl>
    <w:p/>
    <w:p>
      <w:r>
        <w:t>Итог: единые требования к форм-фактору, интерфейсу, питанию и протоколам обеспечивают взаимозаменяемость накопителей и совместимость с существующим оборудованием компании.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