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F4E79"/>
          <w:sz w:val="40"/>
          <w:szCs w:val="40"/>
        </w:rPr>
        <w:t xml:space="preserve">3.  Methods</w:t>
      </w:r>
    </w:p>
    <w:p>
      <w:pPr>
        <w:pBdr>
          <w:bottom w:val="single" w:color="2E75B6" w:sz="12" w:space="8"/>
        </w:pBdr>
        <w:spacing w:before="0" w:after="320"/>
      </w:pPr>
      <w:r>
        <w:t xml:space="preserve"/>
      </w:r>
    </w:p>
    <w:p>
      <w:pPr>
        <w:pStyle w:val="Heading2"/>
        <w:spacing w:before="280" w:after="120"/>
      </w:pPr>
      <w:r>
        <w:rPr>
          <w:rFonts w:ascii="Arial" w:cs="Arial" w:eastAsia="Arial" w:hAnsi="Arial"/>
          <w:b/>
          <w:bCs/>
          <w:color w:val="2E75B6"/>
          <w:sz w:val="26"/>
          <w:szCs w:val="26"/>
        </w:rPr>
        <w:t xml:space="preserve">3.1  Overview</w:t>
      </w:r>
    </w:p>
    <w:p>
      <w:pPr>
        <w:spacing w:before="80" w:after="140"/>
      </w:pPr>
      <w:r>
        <w:rPr>
          <w:rFonts w:ascii="Arial" w:cs="Arial" w:eastAsia="Arial" w:hAnsi="Arial"/>
          <w:color w:val="1A1A1A"/>
          <w:sz w:val="22"/>
          <w:szCs w:val="22"/>
        </w:rPr>
        <w:t xml:space="preserve">DIRA (Discriminative Indel Refinement via Alignment-Feature Modeling) operates as a post-hoc refinement layer over candidate indels produced by any short-read variant caller. Given a candidate VCF and the BAM file from which it was derived, DIRA computes a per-indel feature vector by re-querying the BAM at each locus, applies a trained gradient-boosted classifier to produce a calibrated posterior probability of biological validity, and emits a filtered VCF with recalibrated QUAL scores. No haplotype assembly, graph construction, or read tensor encoding is performed at any stage.</w:t>
      </w:r>
    </w:p>
    <w:p>
      <w:pPr>
        <w:spacing w:before="80" w:after="140"/>
      </w:pPr>
      <w:r>
        <w:rPr>
          <w:rFonts w:ascii="Arial" w:cs="Arial" w:eastAsia="Arial" w:hAnsi="Arial"/>
          <w:color w:val="1A1A1A"/>
          <w:sz w:val="22"/>
          <w:szCs w:val="22"/>
        </w:rPr>
        <w:t xml:space="preserve">The pipeline consists of four sequential stages: (1) candidate variant calling and normalization, (2) feature extraction from BAM alignments, (3) supervised model training using GIAB truth labels, and (4) inference and VCF annotation. Each stage is described in detail below.</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3.2  Data and Benchmarking Framework</w:t>
      </w:r>
    </w:p>
    <w:p>
      <w:pPr>
        <w:pStyle w:val="Heading3"/>
        <w:spacing w:before="200" w:after="80"/>
      </w:pPr>
      <w:r>
        <w:rPr>
          <w:rFonts w:ascii="Arial" w:cs="Arial" w:eastAsia="Arial" w:hAnsi="Arial"/>
          <w:b/>
          <w:bCs/>
          <w:i/>
          <w:iCs/>
          <w:color w:val="2C5F8A"/>
          <w:sz w:val="24"/>
          <w:szCs w:val="24"/>
        </w:rPr>
        <w:t xml:space="preserve">3.2.1  Reference Genome and Sequencing Data</w:t>
      </w:r>
    </w:p>
    <w:p>
      <w:pPr>
        <w:spacing w:before="80" w:after="140"/>
      </w:pPr>
      <w:r>
        <w:rPr>
          <w:rFonts w:ascii="Arial" w:cs="Arial" w:eastAsia="Arial" w:hAnsi="Arial"/>
          <w:color w:val="1A1A1A"/>
          <w:sz w:val="22"/>
          <w:szCs w:val="22"/>
        </w:rPr>
        <w:t xml:space="preserve">All experiments used publicly available Illumina short-read whole-genome sequencing data for the Genome in a Bottle (GIAB) reference sample HG002 (Ashkenazi son), sequenced at approximately 30× coverage using 2×250 bp paired-end reads on an Illumina HiSeq platform. Reads were aligned to the GRCh38 human reference genome. The BAM file was obtained from the GIAB FTP repository and processed according to GIAB-recommended preprocessing guidelines, including duplicate marking and base quality score recalibration.</w:t>
      </w:r>
    </w:p>
    <w:p>
      <w:pPr>
        <w:pStyle w:val="Heading3"/>
        <w:spacing w:before="200" w:after="80"/>
      </w:pPr>
      <w:r>
        <w:rPr>
          <w:rFonts w:ascii="Arial" w:cs="Arial" w:eastAsia="Arial" w:hAnsi="Arial"/>
          <w:b/>
          <w:bCs/>
          <w:i/>
          <w:iCs/>
          <w:color w:val="2C5F8A"/>
          <w:sz w:val="24"/>
          <w:szCs w:val="24"/>
        </w:rPr>
        <w:t xml:space="preserve">3.2.2  Ground Truth Labels</w:t>
      </w:r>
    </w:p>
    <w:p>
      <w:pPr>
        <w:spacing w:before="80" w:after="140"/>
      </w:pPr>
      <w:r>
        <w:rPr>
          <w:rFonts w:ascii="Arial" w:cs="Arial" w:eastAsia="Arial" w:hAnsi="Arial"/>
          <w:color w:val="1A1A1A"/>
          <w:sz w:val="22"/>
          <w:szCs w:val="22"/>
        </w:rPr>
        <w:t xml:space="preserve">Variant truth labels were derived from the GIAB HG002 high-confidence small variant benchmark set version 4.2.1 [CITATION]. This benchmark provides a curated set of high-confidence variant calls and a corresponding high-confidence genomic region BED file. Only indels within the high-confidence regions were considered in training and evaluation. An indel candidate was labeled as a true positive (</w:t>
      </w:r>
      <w:r>
        <w:rPr>
          <w:rFonts w:ascii="Arial" w:cs="Arial" w:eastAsia="Arial" w:hAnsi="Arial"/>
          <w:i/>
          <w:iCs/>
          <w:color w:val="1A1A1A"/>
          <w:sz w:val="22"/>
          <w:szCs w:val="22"/>
        </w:rPr>
        <w:t xml:space="preserve">Ti</w:t>
      </w:r>
      <w:r>
        <w:rPr>
          <w:rFonts w:ascii="Arial" w:cs="Arial" w:eastAsia="Arial" w:hAnsi="Arial"/>
          <w:color w:val="1A1A1A"/>
          <w:sz w:val="22"/>
          <w:szCs w:val="22"/>
        </w:rPr>
        <w:t xml:space="preserve"> = 1) if it was present in the truth VCF with matching chromosome, position, reference allele, and alternate allele after normalization; candidates absent from the truth set within high-confidence regions were labeled false positive (</w:t>
      </w:r>
      <w:r>
        <w:rPr>
          <w:rFonts w:ascii="Arial" w:cs="Arial" w:eastAsia="Arial" w:hAnsi="Arial"/>
          <w:i/>
          <w:iCs/>
          <w:color w:val="1A1A1A"/>
          <w:sz w:val="22"/>
          <w:szCs w:val="22"/>
        </w:rPr>
        <w:t xml:space="preserve">Ti</w:t>
      </w:r>
      <w:r>
        <w:rPr>
          <w:rFonts w:ascii="Arial" w:cs="Arial" w:eastAsia="Arial" w:hAnsi="Arial"/>
          <w:color w:val="1A1A1A"/>
          <w:sz w:val="22"/>
          <w:szCs w:val="22"/>
        </w:rPr>
        <w:t xml:space="preserve"> = 0). Normalization was performed using </w:t>
      </w:r>
      <w:r>
        <w:rPr>
          <w:rFonts w:ascii="Courier New" w:cs="Courier New" w:eastAsia="Courier New" w:hAnsi="Courier New"/>
          <w:color w:val="333333"/>
          <w:sz w:val="20"/>
          <w:szCs w:val="20"/>
        </w:rPr>
        <w:t xml:space="preserve">bcftools norm -f GRCh38.fa</w:t>
      </w:r>
      <w:r>
        <w:rPr>
          <w:rFonts w:ascii="Arial" w:cs="Arial" w:eastAsia="Arial" w:hAnsi="Arial"/>
          <w:color w:val="1A1A1A"/>
          <w:sz w:val="22"/>
          <w:szCs w:val="22"/>
        </w:rPr>
        <w:t xml:space="preserve"> prior to matching to ensure consistent left-alignment and trimming of indel representations.</w:t>
      </w:r>
    </w:p>
    <w:p>
      <w:pPr>
        <w:pStyle w:val="Heading3"/>
        <w:spacing w:before="200" w:after="80"/>
      </w:pPr>
      <w:r>
        <w:rPr>
          <w:rFonts w:ascii="Arial" w:cs="Arial" w:eastAsia="Arial" w:hAnsi="Arial"/>
          <w:b/>
          <w:bCs/>
          <w:i/>
          <w:iCs/>
          <w:color w:val="2C5F8A"/>
          <w:sz w:val="24"/>
          <w:szCs w:val="24"/>
        </w:rPr>
        <w:t xml:space="preserve">3.2.3  Dataset Construction</w:t>
      </w:r>
    </w:p>
    <w:p>
      <w:pPr>
        <w:spacing w:before="80" w:after="140"/>
      </w:pPr>
      <w:r>
        <w:rPr>
          <w:rFonts w:ascii="Arial" w:cs="Arial" w:eastAsia="Arial" w:hAnsi="Arial"/>
          <w:color w:val="1A1A1A"/>
          <w:sz w:val="22"/>
          <w:szCs w:val="22"/>
        </w:rPr>
        <w:t xml:space="preserve">The labeled feature dataset was constructed by running bcftools mpileup and call over the full HG002 genome, extracting indel candidates, and running feature extraction over all chromosomes. The final dataset comprised 797,113 indel candidates, of which 557,482 (69.9%) were true positives and 239,631 (30.1%) were false positives, giving a positive-to-negative ratio of 2.33:1. The class imbalance was addressed during model training via the scale_pos_weight parameter as described in Section 3.4.</w:t>
      </w:r>
    </w:p>
    <w:p>
      <w:pPr>
        <w:spacing w:before="80" w:after="140"/>
      </w:pPr>
      <w:r>
        <w:rPr>
          <w:rFonts w:ascii="Arial" w:cs="Arial" w:eastAsia="Arial" w:hAnsi="Arial"/>
          <w:color w:val="1A1A1A"/>
          <w:sz w:val="22"/>
          <w:szCs w:val="22"/>
        </w:rPr>
        <w:t xml:space="preserve">Chromosomes 1–18 were used for model training and validation. Chromosome 20 was held out entirely as an independent test chromosome and was not seen during any stage of training or threshold selection. All evaluation against the GIAB truth set was performed on chromosome 20 using RTG Tools vcfeval version 3.12.</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3.3  Candidate Variant Calling and Normalization</w:t>
      </w:r>
    </w:p>
    <w:p>
      <w:pPr>
        <w:spacing w:before="80" w:after="140"/>
      </w:pPr>
      <w:r>
        <w:rPr>
          <w:rFonts w:ascii="Arial" w:cs="Arial" w:eastAsia="Arial" w:hAnsi="Arial"/>
          <w:color w:val="1A1A1A"/>
          <w:sz w:val="22"/>
          <w:szCs w:val="22"/>
        </w:rPr>
        <w:t xml:space="preserve">Candidate indels were generated using </w:t>
      </w:r>
      <w:r>
        <w:rPr>
          <w:rFonts w:ascii="Courier New" w:cs="Courier New" w:eastAsia="Courier New" w:hAnsi="Courier New"/>
          <w:color w:val="333333"/>
          <w:sz w:val="20"/>
          <w:szCs w:val="20"/>
        </w:rPr>
        <w:t xml:space="preserve">bcftools mpileup</w:t>
      </w:r>
      <w:r>
        <w:rPr>
          <w:rFonts w:ascii="Arial" w:cs="Arial" w:eastAsia="Arial" w:hAnsi="Arial"/>
          <w:color w:val="1A1A1A"/>
          <w:sz w:val="22"/>
          <w:szCs w:val="22"/>
        </w:rPr>
        <w:t xml:space="preserve"> and </w:t>
      </w:r>
      <w:r>
        <w:rPr>
          <w:rFonts w:ascii="Courier New" w:cs="Courier New" w:eastAsia="Courier New" w:hAnsi="Courier New"/>
          <w:color w:val="333333"/>
          <w:sz w:val="20"/>
          <w:szCs w:val="20"/>
        </w:rPr>
        <w:t xml:space="preserve">bcftools call</w:t>
      </w:r>
      <w:r>
        <w:rPr>
          <w:rFonts w:ascii="Arial" w:cs="Arial" w:eastAsia="Arial" w:hAnsi="Arial"/>
          <w:color w:val="1A1A1A"/>
          <w:sz w:val="22"/>
          <w:szCs w:val="22"/>
        </w:rPr>
        <w:t xml:space="preserve"> with default parameters applied to the HG002 BAM. Indel candidates were extracted from the full callset by retaining only variants where the reference and alternate alleles differed in length. All candidate VCFs were normalized prior to feature extraction and truth matching using:</w:t>
      </w:r>
    </w:p>
    <w:p>
      <w:pPr>
        <w:spacing w:before="0" w:after="40"/>
      </w:pPr>
      <w:r>
        <w:t xml:space="preserve"/>
      </w:r>
    </w:p>
    <w:p>
      <w:pPr>
        <w:spacing w:before="120" w:after="120"/>
        <w:jc w:val="center"/>
      </w:pPr>
      <w:r>
        <w:rPr>
          <w:rFonts w:ascii="Courier New" w:cs="Courier New" w:eastAsia="Courier New" w:hAnsi="Courier New"/>
          <w:b/>
          <w:bCs/>
          <w:color w:val="222222"/>
          <w:sz w:val="22"/>
          <w:szCs w:val="22"/>
        </w:rPr>
        <w:t xml:space="preserve">bcftools norm -f GRCh38.fa -m -any input.vcf.gz -Oz -o normalized.vcf.gz</w:t>
      </w:r>
    </w:p>
    <w:p>
      <w:pPr>
        <w:spacing w:before="0" w:after="40"/>
      </w:pPr>
      <w:r>
        <w:t xml:space="preserve"/>
      </w:r>
    </w:p>
    <w:p>
      <w:pPr>
        <w:spacing w:before="80" w:after="140"/>
      </w:pPr>
      <w:r>
        <w:rPr>
          <w:rFonts w:ascii="Arial" w:cs="Arial" w:eastAsia="Arial" w:hAnsi="Arial"/>
          <w:color w:val="1A1A1A"/>
          <w:sz w:val="22"/>
          <w:szCs w:val="22"/>
        </w:rPr>
        <w:t xml:space="preserve">This ensures consistent left-alignment of indels and removes any redundant multi-allelic representations. The normalized VCF was used as input to both the feature extraction pipeline and the truth-set matching step.</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3.4  Feature Extraction</w:t>
      </w:r>
    </w:p>
    <w:p>
      <w:pPr>
        <w:pStyle w:val="Heading3"/>
        <w:spacing w:before="200" w:after="80"/>
      </w:pPr>
      <w:r>
        <w:rPr>
          <w:rFonts w:ascii="Arial" w:cs="Arial" w:eastAsia="Arial" w:hAnsi="Arial"/>
          <w:b/>
          <w:bCs/>
          <w:i/>
          <w:iCs/>
          <w:color w:val="2C5F8A"/>
          <w:sz w:val="24"/>
          <w:szCs w:val="24"/>
        </w:rPr>
        <w:t xml:space="preserve">3.4.1  Design Principles</w:t>
      </w:r>
    </w:p>
    <w:p>
      <w:pPr>
        <w:spacing w:before="80" w:after="140"/>
      </w:pPr>
      <w:r>
        <w:rPr>
          <w:rFonts w:ascii="Arial" w:cs="Arial" w:eastAsia="Arial" w:hAnsi="Arial"/>
          <w:color w:val="1A1A1A"/>
          <w:sz w:val="22"/>
          <w:szCs w:val="22"/>
        </w:rPr>
        <w:t xml:space="preserve">DIRA's feature engineering is organized around the principle of artifact-class specificity: each feature group is designed to capture a distinct mechanistic class of false positive indel, rather than serving as a generic summary statistic. This contrasts with variant quality score recalibration (VQSR), which uses a small set of caller-derived annotations not designed for indel-specific artifact modeling.</w:t>
      </w:r>
    </w:p>
    <w:p>
      <w:pPr>
        <w:spacing w:before="80" w:after="140"/>
      </w:pPr>
      <w:r>
        <w:rPr>
          <w:rFonts w:ascii="Arial" w:cs="Arial" w:eastAsia="Arial" w:hAnsi="Arial"/>
          <w:color w:val="1A1A1A"/>
          <w:sz w:val="22"/>
          <w:szCs w:val="22"/>
        </w:rPr>
        <w:t xml:space="preserve">All features are computed by re-querying the BAM at the candidate indel locus using pysam. Reference context features are derived from the GRCh38 FASTA using a ±25 bp window. No features are derived from caller-internal scores (e.g., bcftools QUAL) to ensure the model learns signals orthogonal to the original caller's evidence, preventing the model from simply learning a monotonic transformation of the caller's own scoring function.</w:t>
      </w:r>
    </w:p>
    <w:p>
      <w:pPr>
        <w:pStyle w:val="Heading3"/>
        <w:spacing w:before="200" w:after="80"/>
      </w:pPr>
      <w:r>
        <w:rPr>
          <w:rFonts w:ascii="Arial" w:cs="Arial" w:eastAsia="Arial" w:hAnsi="Arial"/>
          <w:b/>
          <w:bCs/>
          <w:i/>
          <w:iCs/>
          <w:color w:val="2C5F8A"/>
          <w:sz w:val="24"/>
          <w:szCs w:val="24"/>
        </w:rPr>
        <w:t xml:space="preserve">3.4.2  Read Classification</w:t>
      </w:r>
    </w:p>
    <w:p>
      <w:pPr>
        <w:spacing w:before="80" w:after="140"/>
      </w:pPr>
      <w:r>
        <w:rPr>
          <w:rFonts w:ascii="Arial" w:cs="Arial" w:eastAsia="Arial" w:hAnsi="Arial"/>
          <w:color w:val="1A1A1A"/>
          <w:sz w:val="22"/>
          <w:szCs w:val="22"/>
        </w:rPr>
        <w:t xml:space="preserve">For each candidate indel at position </w:t>
      </w:r>
      <w:r>
        <w:rPr>
          <w:rFonts w:ascii="Arial" w:cs="Arial" w:eastAsia="Arial" w:hAnsi="Arial"/>
          <w:i/>
          <w:iCs/>
          <w:color w:val="1A1A1A"/>
          <w:sz w:val="22"/>
          <w:szCs w:val="22"/>
        </w:rPr>
        <w:t xml:space="preserve">p</w:t>
      </w:r>
      <w:r>
        <w:rPr>
          <w:rFonts w:ascii="Arial" w:cs="Arial" w:eastAsia="Arial" w:hAnsi="Arial"/>
          <w:color w:val="1A1A1A"/>
          <w:sz w:val="22"/>
          <w:szCs w:val="22"/>
        </w:rPr>
        <w:t xml:space="preserve">, reads overlapping the locus were retrieved via </w:t>
      </w:r>
      <w:r>
        <w:rPr>
          <w:rFonts w:ascii="Courier New" w:cs="Courier New" w:eastAsia="Courier New" w:hAnsi="Courier New"/>
          <w:color w:val="333333"/>
          <w:sz w:val="20"/>
          <w:szCs w:val="20"/>
        </w:rPr>
        <w:t xml:space="preserve">pysam.AlignmentFile.pileup()</w:t>
      </w:r>
      <w:r>
        <w:rPr>
          <w:rFonts w:ascii="Arial" w:cs="Arial" w:eastAsia="Arial" w:hAnsi="Arial"/>
          <w:color w:val="1A1A1A"/>
          <w:sz w:val="22"/>
          <w:szCs w:val="22"/>
        </w:rPr>
        <w:t xml:space="preserve">. Reads were classified as alt-supporting or reference-supporting using CIGAR-based evidence: a read was classified as alt-supporting if it contained an insertion (CIGAR op I) or deletion (CIGAR op D) within 2 bp of </w:t>
      </w:r>
      <w:r>
        <w:rPr>
          <w:rFonts w:ascii="Arial" w:cs="Arial" w:eastAsia="Arial" w:hAnsi="Arial"/>
          <w:i/>
          <w:iCs/>
          <w:color w:val="1A1A1A"/>
          <w:sz w:val="22"/>
          <w:szCs w:val="22"/>
        </w:rPr>
        <w:t xml:space="preserve">p</w:t>
      </w:r>
      <w:r>
        <w:rPr>
          <w:rFonts w:ascii="Arial" w:cs="Arial" w:eastAsia="Arial" w:hAnsi="Arial"/>
          <w:color w:val="1A1A1A"/>
          <w:sz w:val="22"/>
          <w:szCs w:val="22"/>
        </w:rPr>
        <w:t xml:space="preserve">, with the operation type (I or D) matching the indel type. This CIGAR-based classification is more reliable than base-matching for indels, as the reference and alternate alleles frequently share the same anchor base.</w:t>
      </w:r>
    </w:p>
    <w:p>
      <w:pPr>
        <w:pStyle w:val="Heading3"/>
        <w:spacing w:before="200" w:after="80"/>
      </w:pPr>
      <w:r>
        <w:rPr>
          <w:rFonts w:ascii="Arial" w:cs="Arial" w:eastAsia="Arial" w:hAnsi="Arial"/>
          <w:b/>
          <w:bCs/>
          <w:i/>
          <w:iCs/>
          <w:color w:val="2C5F8A"/>
          <w:sz w:val="24"/>
          <w:szCs w:val="24"/>
        </w:rPr>
        <w:t xml:space="preserve">3.4.3  Feature Groups</w:t>
      </w:r>
    </w:p>
    <w:p>
      <w:pPr>
        <w:spacing w:before="80" w:after="140"/>
      </w:pPr>
      <w:r>
        <w:rPr>
          <w:rFonts w:ascii="Arial" w:cs="Arial" w:eastAsia="Arial" w:hAnsi="Arial"/>
          <w:color w:val="1A1A1A"/>
          <w:sz w:val="22"/>
          <w:szCs w:val="22"/>
        </w:rPr>
        <w:t xml:space="preserve">DIRA extracts 27 features organized into eleven groups. Table 1 summarizes the groups, their constituent features, and the artifact class each targets.</w:t>
      </w:r>
    </w:p>
    <w:p>
      <w:pPr>
        <w:spacing w:before="0" w:after="80"/>
      </w:pPr>
      <w:r>
        <w:t xml:space="preserve"/>
      </w:r>
    </w:p>
    <w:p>
      <w:pPr>
        <w:spacing w:before="0" w:after="100"/>
        <w:jc w:val="center"/>
      </w:pPr>
      <w:r>
        <w:rPr>
          <w:rFonts w:ascii="Arial" w:cs="Arial" w:eastAsia="Arial" w:hAnsi="Arial"/>
          <w:b/>
          <w:bCs/>
          <w:i/>
          <w:iCs/>
          <w:color w:val="444444"/>
          <w:sz w:val="21"/>
          <w:szCs w:val="21"/>
        </w:rPr>
        <w:t xml:space="preserve">Table 1. DIRA feature groups, constituent features, and targeted artifact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Group</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Artifact Class Targeted</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Alignment Signal</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allele_balance, total_depth, alt_depth</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Low-evidence artifacts, sequencing depth effects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Mapping Quality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mq_mean_alt, mq_var_alt, mq_mean_ref</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Mismapped read clusters, multi-mapping loci</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Strand Bias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strand_ratio_alt, strand_ratio_ref</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Strand-asymmetric sequencing artifacts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Read End Distance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read_end_dist_mean, read_end_dist_var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End-of-read placement bias, chimeric reads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Soft Clipping</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softclip_rate_alt, softclip_mean_alt</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Realignment failures, structural variant interference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Base Quality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bq_mean_alt, bq_var_alt, bq_mean_ref, bq_drop_alt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Systematic BQ degradation around indel loci</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NBQ</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nbq_alt, nbq_ref</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Local base quality in ±5bp window (DNAscope-inspired)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Indel Properties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indel_length, is_insertion, insert_entropy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Length- and sequence-dependent error modes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Reference Context</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homopolymer_length, gc_content_50bp, tandem_repeat_score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Sequence-context-driven alignment ambiguity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Local Complexity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udp_dp_ratio, pileup_entropy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Mismapping signal, read sequence diversity at locus</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Nearby Variants</w:t>
            </w:r>
          </w:p>
        </w:tc>
        <w:tc>
          <w:tcPr>
            <w:tcW w:type="dxa" w:w="3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nearby_variant_count</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Complex region instability, variant clustering artifacts</w:t>
            </w:r>
          </w:p>
        </w:tc>
      </w:tr>
    </w:tbl>
    <w:p>
      <w:pPr>
        <w:spacing w:before="0" w:after="160"/>
      </w:pPr>
      <w:r>
        <w:t xml:space="preserve"/>
      </w:r>
    </w:p>
    <w:p>
      <w:pPr>
        <w:pStyle w:val="Heading3"/>
        <w:spacing w:before="200" w:after="80"/>
      </w:pPr>
      <w:r>
        <w:rPr>
          <w:rFonts w:ascii="Arial" w:cs="Arial" w:eastAsia="Arial" w:hAnsi="Arial"/>
          <w:b/>
          <w:bCs/>
          <w:i/>
          <w:iCs/>
          <w:color w:val="2C5F8A"/>
          <w:sz w:val="24"/>
          <w:szCs w:val="24"/>
        </w:rPr>
        <w:t xml:space="preserve">3.4.4  Selected Feature Definitions</w:t>
      </w:r>
    </w:p>
    <w:p>
      <w:pPr>
        <w:spacing w:before="80" w:after="140"/>
      </w:pPr>
      <w:r>
        <w:rPr>
          <w:rFonts w:ascii="Arial" w:cs="Arial" w:eastAsia="Arial" w:hAnsi="Arial"/>
          <w:b/>
          <w:bCs/>
          <w:color w:val="1A1A1A"/>
          <w:sz w:val="22"/>
          <w:szCs w:val="22"/>
        </w:rPr>
        <w:t xml:space="preserve">Neighborhood Base Quality (NBQ).</w:t>
      </w:r>
      <w:r>
        <w:rPr>
          <w:rFonts w:ascii="Arial" w:cs="Arial" w:eastAsia="Arial" w:hAnsi="Arial"/>
          <w:color w:val="1A1A1A"/>
          <w:sz w:val="22"/>
          <w:szCs w:val="22"/>
        </w:rPr>
        <w:t xml:space="preserve"> Inspired by the NBQ annotation in DNAscope [CITATION] and originally introduced in the Atlas2 variant analysis suite [CITATION], NBQ is defined as the mean base quality of all aligned bases within ±5 bp of the indel position, computed using reference-coordinate-aligned pairs (</w:t>
      </w:r>
      <w:r>
        <w:rPr>
          <w:rFonts w:ascii="Courier New" w:cs="Courier New" w:eastAsia="Courier New" w:hAnsi="Courier New"/>
          <w:color w:val="333333"/>
          <w:sz w:val="20"/>
          <w:szCs w:val="20"/>
        </w:rPr>
        <w:t xml:space="preserve">get_aligned_pairs(matches_only=True)</w:t>
      </w:r>
      <w:r>
        <w:rPr>
          <w:rFonts w:ascii="Arial" w:cs="Arial" w:eastAsia="Arial" w:hAnsi="Arial"/>
          <w:color w:val="1A1A1A"/>
          <w:sz w:val="22"/>
          <w:szCs w:val="22"/>
        </w:rPr>
        <w:t xml:space="preserve">). This captures local base quality degradation immediately flanking the indel, which is more sensitive to library preparation artifacts than global read base quality averages.</w:t>
      </w:r>
    </w:p>
    <w:p>
      <w:pPr>
        <w:spacing w:before="0" w:after="60"/>
      </w:pPr>
      <w:r>
        <w:t xml:space="preserve"/>
      </w:r>
    </w:p>
    <w:p>
      <w:pPr>
        <w:spacing w:before="80" w:after="140"/>
      </w:pPr>
      <w:r>
        <w:rPr>
          <w:rFonts w:ascii="Arial" w:cs="Arial" w:eastAsia="Arial" w:hAnsi="Arial"/>
          <w:b/>
          <w:bCs/>
          <w:color w:val="1A1A1A"/>
          <w:sz w:val="22"/>
          <w:szCs w:val="22"/>
        </w:rPr>
        <w:t xml:space="preserve">Pileup Entropy.</w:t>
      </w:r>
      <w:r>
        <w:rPr>
          <w:rFonts w:ascii="Arial" w:cs="Arial" w:eastAsia="Arial" w:hAnsi="Arial"/>
          <w:color w:val="1A1A1A"/>
          <w:sz w:val="22"/>
          <w:szCs w:val="22"/>
        </w:rPr>
        <w:t xml:space="preserve"> Shannon entropy computed over the set of observed bases at the pileup position, defined as </w:t>
      </w:r>
      <w:r>
        <w:rPr>
          <w:rFonts w:ascii="Arial" w:cs="Arial" w:eastAsia="Arial" w:hAnsi="Arial"/>
          <w:i/>
          <w:iCs/>
          <w:color w:val="1A1A1A"/>
          <w:sz w:val="22"/>
          <w:szCs w:val="22"/>
        </w:rPr>
        <w:t xml:space="preserve">H = −Σ pi log₂ pi</w:t>
      </w:r>
      <w:r>
        <w:rPr>
          <w:rFonts w:ascii="Arial" w:cs="Arial" w:eastAsia="Arial" w:hAnsi="Arial"/>
          <w:color w:val="1A1A1A"/>
          <w:sz w:val="22"/>
          <w:szCs w:val="22"/>
        </w:rPr>
        <w:t xml:space="preserve"> where </w:t>
      </w:r>
      <w:r>
        <w:rPr>
          <w:rFonts w:ascii="Arial" w:cs="Arial" w:eastAsia="Arial" w:hAnsi="Arial"/>
          <w:i/>
          <w:iCs/>
          <w:color w:val="1A1A1A"/>
          <w:sz w:val="22"/>
          <w:szCs w:val="22"/>
        </w:rPr>
        <w:t xml:space="preserve">pi</w:t>
      </w:r>
      <w:r>
        <w:rPr>
          <w:rFonts w:ascii="Arial" w:cs="Arial" w:eastAsia="Arial" w:hAnsi="Arial"/>
          <w:color w:val="1A1A1A"/>
          <w:sz w:val="22"/>
          <w:szCs w:val="22"/>
        </w:rPr>
        <w:t xml:space="preserve"> is the relative frequency of base </w:t>
      </w:r>
      <w:r>
        <w:rPr>
          <w:rFonts w:ascii="Arial" w:cs="Arial" w:eastAsia="Arial" w:hAnsi="Arial"/>
          <w:i/>
          <w:iCs/>
          <w:color w:val="1A1A1A"/>
          <w:sz w:val="22"/>
          <w:szCs w:val="22"/>
        </w:rPr>
        <w:t xml:space="preserve">i</w:t>
      </w:r>
      <w:r>
        <w:rPr>
          <w:rFonts w:ascii="Arial" w:cs="Arial" w:eastAsia="Arial" w:hAnsi="Arial"/>
          <w:color w:val="1A1A1A"/>
          <w:sz w:val="22"/>
          <w:szCs w:val="22"/>
        </w:rPr>
        <w:t xml:space="preserve"> across all covering reads. This is an assembly-free analog of the haplotype entropy annotation in DNAscope, capturing read sequence diversity at the locus as a proxy for mismapping and multi-allelic complexity.</w:t>
      </w:r>
    </w:p>
    <w:p>
      <w:pPr>
        <w:spacing w:before="0" w:after="60"/>
      </w:pPr>
      <w:r>
        <w:t xml:space="preserve"/>
      </w:r>
    </w:p>
    <w:p>
      <w:pPr>
        <w:spacing w:before="80" w:after="140"/>
      </w:pPr>
      <w:r>
        <w:rPr>
          <w:rFonts w:ascii="Arial" w:cs="Arial" w:eastAsia="Arial" w:hAnsi="Arial"/>
          <w:b/>
          <w:bCs/>
          <w:color w:val="1A1A1A"/>
          <w:sz w:val="22"/>
          <w:szCs w:val="22"/>
        </w:rPr>
        <w:t xml:space="preserve">UDP/DP Ratio.</w:t>
      </w:r>
      <w:r>
        <w:rPr>
          <w:rFonts w:ascii="Arial" w:cs="Arial" w:eastAsia="Arial" w:hAnsi="Arial"/>
          <w:color w:val="1A1A1A"/>
          <w:sz w:val="22"/>
          <w:szCs w:val="22"/>
        </w:rPr>
        <w:t xml:space="preserve"> The ratio of total read depth (UDP, including low mapping quality reads) to mapping-quality-filtered depth (DP, reads with MQ ≥ 20). A high UDP/DP ratio indicates a large fraction of low-confidence alignments at the locus, which is strongly predictive of mismapping artifacts in segmental duplications and low-complexity regions. This feature was inspired by the UDP annotation in DNAscope [CITATION].</w:t>
      </w:r>
    </w:p>
    <w:p>
      <w:pPr>
        <w:spacing w:before="0" w:after="60"/>
      </w:pPr>
      <w:r>
        <w:t xml:space="preserve"/>
      </w:r>
    </w:p>
    <w:p>
      <w:pPr>
        <w:spacing w:before="80" w:after="140"/>
      </w:pPr>
      <w:r>
        <w:rPr>
          <w:rFonts w:ascii="Arial" w:cs="Arial" w:eastAsia="Arial" w:hAnsi="Arial"/>
          <w:b/>
          <w:bCs/>
          <w:color w:val="1A1A1A"/>
          <w:sz w:val="22"/>
          <w:szCs w:val="22"/>
        </w:rPr>
        <w:t xml:space="preserve">Read End Distance.</w:t>
      </w:r>
      <w:r>
        <w:rPr>
          <w:rFonts w:ascii="Arial" w:cs="Arial" w:eastAsia="Arial" w:hAnsi="Arial"/>
          <w:color w:val="1A1A1A"/>
          <w:sz w:val="22"/>
          <w:szCs w:val="22"/>
        </w:rPr>
        <w:t xml:space="preserve"> The mean and variance of min(distance from read start, distance from read end) for all reads covering the locus. Indels supported predominantly by bases near either end of reads are more likely to reflect chimeric or misaligned reads than true variants. This annotation is inspired by the ReadPosEndDist feature in bcbio-nextgen [CITATION].</w:t>
      </w:r>
    </w:p>
    <w:p>
      <w:pPr>
        <w:spacing w:before="0" w:after="60"/>
      </w:pPr>
      <w:r>
        <w:t xml:space="preserve"/>
      </w:r>
    </w:p>
    <w:p>
      <w:pPr>
        <w:spacing w:before="80" w:after="140"/>
      </w:pPr>
      <w:r>
        <w:rPr>
          <w:rFonts w:ascii="Arial" w:cs="Arial" w:eastAsia="Arial" w:hAnsi="Arial"/>
          <w:b/>
          <w:bCs/>
          <w:color w:val="1A1A1A"/>
          <w:sz w:val="22"/>
          <w:szCs w:val="22"/>
        </w:rPr>
        <w:t xml:space="preserve">Soft-clip Features.</w:t>
      </w:r>
      <w:r>
        <w:rPr>
          <w:rFonts w:ascii="Arial" w:cs="Arial" w:eastAsia="Arial" w:hAnsi="Arial"/>
          <w:color w:val="1A1A1A"/>
          <w:sz w:val="22"/>
          <w:szCs w:val="22"/>
        </w:rPr>
        <w:t xml:space="preserve"> Two distinct features are computed from alt-supporting reads: </w:t>
      </w:r>
      <w:r>
        <w:rPr>
          <w:rFonts w:ascii="Arial" w:cs="Arial" w:eastAsia="Arial" w:hAnsi="Arial"/>
          <w:i/>
          <w:iCs/>
          <w:color w:val="1A1A1A"/>
          <w:sz w:val="22"/>
          <w:szCs w:val="22"/>
        </w:rPr>
        <w:t xml:space="preserve">softclip_rate_alt</w:t>
      </w:r>
      <w:r>
        <w:rPr>
          <w:rFonts w:ascii="Arial" w:cs="Arial" w:eastAsia="Arial" w:hAnsi="Arial"/>
          <w:color w:val="1A1A1A"/>
          <w:sz w:val="22"/>
          <w:szCs w:val="22"/>
        </w:rPr>
        <w:t xml:space="preserve"> is the fraction of alt-supporting reads with any soft-clipped bases, and </w:t>
      </w:r>
      <w:r>
        <w:rPr>
          <w:rFonts w:ascii="Arial" w:cs="Arial" w:eastAsia="Arial" w:hAnsi="Arial"/>
          <w:i/>
          <w:iCs/>
          <w:color w:val="1A1A1A"/>
          <w:sz w:val="22"/>
          <w:szCs w:val="22"/>
        </w:rPr>
        <w:t xml:space="preserve">softclip_mean_alt</w:t>
      </w:r>
      <w:r>
        <w:rPr>
          <w:rFonts w:ascii="Arial" w:cs="Arial" w:eastAsia="Arial" w:hAnsi="Arial"/>
          <w:color w:val="1A1A1A"/>
          <w:sz w:val="22"/>
          <w:szCs w:val="22"/>
        </w:rPr>
        <w:t xml:space="preserve"> is the mean total soft-clip length in bases. These capture different failure modes — a high rate indicates systemic realignment failure, while high mean length indicates individual reads with large unaligned segments that may be incorrectly contributing indel support.</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3.5  Machine Learning Model</w:t>
      </w:r>
    </w:p>
    <w:p>
      <w:pPr>
        <w:pStyle w:val="Heading3"/>
        <w:spacing w:before="200" w:after="80"/>
      </w:pPr>
      <w:r>
        <w:rPr>
          <w:rFonts w:ascii="Arial" w:cs="Arial" w:eastAsia="Arial" w:hAnsi="Arial"/>
          <w:b/>
          <w:bCs/>
          <w:i/>
          <w:iCs/>
          <w:color w:val="2C5F8A"/>
          <w:sz w:val="24"/>
          <w:szCs w:val="24"/>
        </w:rPr>
        <w:t xml:space="preserve">3.5.1  Model Architecture</w:t>
      </w:r>
    </w:p>
    <w:p>
      <w:pPr>
        <w:spacing w:before="80" w:after="140"/>
      </w:pPr>
      <w:r>
        <w:rPr>
          <w:rFonts w:ascii="Arial" w:cs="Arial" w:eastAsia="Arial" w:hAnsi="Arial"/>
          <w:color w:val="1A1A1A"/>
          <w:sz w:val="22"/>
          <w:szCs w:val="22"/>
        </w:rPr>
        <w:t xml:space="preserve">DIRA uses a gradient-boosted decision tree ensemble implemented in LightGBM [CITATION]. Gradient-boosted trees were selected over deep learning approaches for three reasons: they do not require GPU acceleration, they handle tabular features with mixed scales and distributions without preprocessing, and they produce interpretable feature importance scores that support the paper's mechanistic analysis.</w:t>
      </w:r>
    </w:p>
    <w:p>
      <w:pPr>
        <w:spacing w:before="80" w:after="140"/>
      </w:pPr>
      <w:r>
        <w:rPr>
          <w:rFonts w:ascii="Arial" w:cs="Arial" w:eastAsia="Arial" w:hAnsi="Arial"/>
          <w:color w:val="1A1A1A"/>
          <w:sz w:val="22"/>
          <w:szCs w:val="22"/>
        </w:rPr>
        <w:t xml:space="preserve">The ensemble score is defined as </w:t>
      </w:r>
      <w:r>
        <w:rPr>
          <w:rFonts w:ascii="Arial" w:cs="Arial" w:eastAsia="Arial" w:hAnsi="Arial"/>
          <w:i/>
          <w:iCs/>
          <w:color w:val="1A1A1A"/>
          <w:sz w:val="22"/>
          <w:szCs w:val="22"/>
        </w:rPr>
        <w:t xml:space="preserve">s(x) = Σₖ gₖ(x)</w:t>
      </w:r>
      <w:r>
        <w:rPr>
          <w:rFonts w:ascii="Arial" w:cs="Arial" w:eastAsia="Arial" w:hAnsi="Arial"/>
          <w:color w:val="1A1A1A"/>
          <w:sz w:val="22"/>
          <w:szCs w:val="22"/>
        </w:rPr>
        <w:t xml:space="preserve">, where each </w:t>
      </w:r>
      <w:r>
        <w:rPr>
          <w:rFonts w:ascii="Arial" w:cs="Arial" w:eastAsia="Arial" w:hAnsi="Arial"/>
          <w:i/>
          <w:iCs/>
          <w:color w:val="1A1A1A"/>
          <w:sz w:val="22"/>
          <w:szCs w:val="22"/>
        </w:rPr>
        <w:t xml:space="preserve">gₖ</w:t>
      </w:r>
      <w:r>
        <w:rPr>
          <w:rFonts w:ascii="Arial" w:cs="Arial" w:eastAsia="Arial" w:hAnsi="Arial"/>
          <w:color w:val="1A1A1A"/>
          <w:sz w:val="22"/>
          <w:szCs w:val="22"/>
        </w:rPr>
        <w:t xml:space="preserve"> is a regression tree over the feature space. The probability estimate is obtained via the logistic sigmoid: </w:t>
      </w:r>
      <w:r>
        <w:rPr>
          <w:rFonts w:ascii="Arial" w:cs="Arial" w:eastAsia="Arial" w:hAnsi="Arial"/>
          <w:i/>
          <w:iCs/>
          <w:color w:val="1A1A1A"/>
          <w:sz w:val="22"/>
          <w:szCs w:val="22"/>
        </w:rPr>
        <w:t xml:space="preserve">P(T=1 | x) = σ(s(x)) = 1 / (1 + e⁻ˢ⁽ˣ⁾)</w:t>
      </w:r>
      <w:r>
        <w:rPr>
          <w:rFonts w:ascii="Arial" w:cs="Arial" w:eastAsia="Arial" w:hAnsi="Arial"/>
          <w:color w:val="1A1A1A"/>
          <w:sz w:val="22"/>
          <w:szCs w:val="22"/>
        </w:rPr>
        <w:t xml:space="preserve">. The model is trained by minimizing regularized binary cross-entropy loss with L1 and L2 penalties on leaf weights.</w:t>
      </w:r>
    </w:p>
    <w:p>
      <w:pPr>
        <w:pStyle w:val="Heading3"/>
        <w:spacing w:before="200" w:after="80"/>
      </w:pPr>
      <w:r>
        <w:rPr>
          <w:rFonts w:ascii="Arial" w:cs="Arial" w:eastAsia="Arial" w:hAnsi="Arial"/>
          <w:b/>
          <w:bCs/>
          <w:i/>
          <w:iCs/>
          <w:color w:val="2C5F8A"/>
          <w:sz w:val="24"/>
          <w:szCs w:val="24"/>
        </w:rPr>
        <w:t xml:space="preserve">3.5.2  Training Configuration</w:t>
      </w:r>
    </w:p>
    <w:p>
      <w:pPr>
        <w:spacing w:before="80" w:after="140"/>
      </w:pPr>
      <w:r>
        <w:rPr>
          <w:rFonts w:ascii="Arial" w:cs="Arial" w:eastAsia="Arial" w:hAnsi="Arial"/>
          <w:color w:val="1A1A1A"/>
          <w:sz w:val="22"/>
          <w:szCs w:val="22"/>
        </w:rPr>
        <w:t xml:space="preserve">The model was trained on chromosomes 1–18 of the HG002 feature dataset. A random validation split (10% of training data) was used for early stopping with a patience of 50 rounds. Table 2 summarizes the training hyperparameters.</w:t>
      </w:r>
    </w:p>
    <w:p>
      <w:pPr>
        <w:spacing w:before="0" w:after="80"/>
      </w:pPr>
      <w:r>
        <w:t xml:space="preserve"/>
      </w:r>
    </w:p>
    <w:p>
      <w:pPr>
        <w:spacing w:before="0" w:after="100"/>
        <w:jc w:val="center"/>
      </w:pPr>
      <w:r>
        <w:rPr>
          <w:rFonts w:ascii="Arial" w:cs="Arial" w:eastAsia="Arial" w:hAnsi="Arial"/>
          <w:b/>
          <w:bCs/>
          <w:i/>
          <w:iCs/>
          <w:color w:val="444444"/>
          <w:sz w:val="21"/>
          <w:szCs w:val="21"/>
        </w:rPr>
        <w:t xml:space="preserve">Table 2. LightGBM training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objective</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binary</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Binary classification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metric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binary_logloss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Logistic loss minimization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num_leaves</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64</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Tree complexity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learning_rate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0.05</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Shrinkage per boosting round</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feature_fraction</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0.8</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Feature subsampling per tree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bagging_fraction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0.8</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 subsampling per iteration</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min_data_in_leaf</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50</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Minimum samples per leaf node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1A1A"/>
                <w:sz w:val="19"/>
                <w:szCs w:val="19"/>
              </w:rPr>
              <w:t xml:space="preserve">early_stopping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50 rounds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Stopped on validation log-loss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Courier New" w:cs="Courier New" w:eastAsia="Courier New" w:hAnsi="Courier New"/>
                <w:color w:val="1A1A1A"/>
                <w:sz w:val="19"/>
                <w:szCs w:val="19"/>
              </w:rPr>
              <w:t xml:space="preserve">scale_pos_weight</w:t>
            </w:r>
          </w:p>
        </w:tc>
        <w:tc>
          <w:tcPr>
            <w:tcW w:type="dxa" w:w="2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bCs/>
                <w:color w:val="1A1A1A"/>
                <w:sz w:val="20"/>
                <w:szCs w:val="20"/>
              </w:rPr>
              <w:t xml:space="preserve">~0.43</w:t>
            </w:r>
          </w:p>
        </w:tc>
        <w:tc>
          <w:tcPr>
            <w:tcW w:type="dxa" w:w="4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color w:val="1A1A1A"/>
                <w:sz w:val="20"/>
                <w:szCs w:val="20"/>
              </w:rPr>
              <w:t xml:space="preserve">Computed from train-set class ratio</w:t>
            </w:r>
          </w:p>
        </w:tc>
      </w:tr>
    </w:tbl>
    <w:p>
      <w:pPr>
        <w:spacing w:before="0" w:after="160"/>
      </w:pPr>
      <w:r>
        <w:t xml:space="preserve"/>
      </w:r>
    </w:p>
    <w:p>
      <w:pPr>
        <w:pStyle w:val="Heading3"/>
        <w:spacing w:before="200" w:after="80"/>
      </w:pPr>
      <w:r>
        <w:rPr>
          <w:rFonts w:ascii="Arial" w:cs="Arial" w:eastAsia="Arial" w:hAnsi="Arial"/>
          <w:b/>
          <w:bCs/>
          <w:i/>
          <w:iCs/>
          <w:color w:val="2C5F8A"/>
          <w:sz w:val="24"/>
          <w:szCs w:val="24"/>
        </w:rPr>
        <w:t xml:space="preserve">3.5.3  Class Imbalance Handling</w:t>
      </w:r>
    </w:p>
    <w:p>
      <w:pPr>
        <w:spacing w:before="80" w:after="140"/>
      </w:pPr>
      <w:r>
        <w:rPr>
          <w:rFonts w:ascii="Arial" w:cs="Arial" w:eastAsia="Arial" w:hAnsi="Arial"/>
          <w:color w:val="1A1A1A"/>
          <w:sz w:val="22"/>
          <w:szCs w:val="22"/>
        </w:rPr>
        <w:t xml:space="preserve">The training set contained 557,482 true positives and 239,631 false positives (ratio 2.33:1). Class imbalance was addressed using LightGBM's </w:t>
      </w:r>
      <w:r>
        <w:rPr>
          <w:rFonts w:ascii="Courier New" w:cs="Courier New" w:eastAsia="Courier New" w:hAnsi="Courier New"/>
          <w:color w:val="333333"/>
          <w:sz w:val="20"/>
          <w:szCs w:val="20"/>
        </w:rPr>
        <w:t xml:space="preserve">scale_pos_weight</w:t>
      </w:r>
      <w:r>
        <w:rPr>
          <w:rFonts w:ascii="Arial" w:cs="Arial" w:eastAsia="Arial" w:hAnsi="Arial"/>
          <w:color w:val="1A1A1A"/>
          <w:sz w:val="22"/>
          <w:szCs w:val="22"/>
        </w:rPr>
        <w:t xml:space="preserve"> parameter, set to the negative-to-positive ratio of the training set (≈ 0.43). This reweights the gradient contribution of positive and negative examples without oversampling or undersampling, preserving the original data distribution while correcting the effective class prior presented to the loss function.</w:t>
      </w:r>
    </w:p>
    <w:p>
      <w:pPr>
        <w:pStyle w:val="Heading3"/>
        <w:spacing w:before="200" w:after="80"/>
      </w:pPr>
      <w:r>
        <w:rPr>
          <w:rFonts w:ascii="Arial" w:cs="Arial" w:eastAsia="Arial" w:hAnsi="Arial"/>
          <w:b/>
          <w:bCs/>
          <w:i/>
          <w:iCs/>
          <w:color w:val="2C5F8A"/>
          <w:sz w:val="24"/>
          <w:szCs w:val="24"/>
        </w:rPr>
        <w:t xml:space="preserve">3.5.4  Depth Features Excluded Deliberately</w:t>
      </w:r>
    </w:p>
    <w:p>
      <w:pPr>
        <w:spacing w:before="80" w:after="140"/>
      </w:pPr>
      <w:r>
        <w:rPr>
          <w:rFonts w:ascii="Arial" w:cs="Arial" w:eastAsia="Arial" w:hAnsi="Arial"/>
          <w:color w:val="1A1A1A"/>
          <w:sz w:val="22"/>
          <w:szCs w:val="22"/>
        </w:rPr>
        <w:t xml:space="preserve">Depth-related features (</w:t>
      </w:r>
      <w:r>
        <w:rPr>
          <w:rFonts w:ascii="Courier New" w:cs="Courier New" w:eastAsia="Courier New" w:hAnsi="Courier New"/>
          <w:color w:val="333333"/>
          <w:sz w:val="20"/>
          <w:szCs w:val="20"/>
        </w:rPr>
        <w:t xml:space="preserve">total_depth</w:t>
      </w:r>
      <w:r>
        <w:rPr>
          <w:rFonts w:ascii="Arial" w:cs="Arial" w:eastAsia="Arial" w:hAnsi="Arial"/>
          <w:color w:val="1A1A1A"/>
          <w:sz w:val="22"/>
          <w:szCs w:val="22"/>
        </w:rPr>
        <w:t xml:space="preserve">, </w:t>
      </w:r>
      <w:r>
        <w:rPr>
          <w:rFonts w:ascii="Courier New" w:cs="Courier New" w:eastAsia="Courier New" w:hAnsi="Courier New"/>
          <w:color w:val="333333"/>
          <w:sz w:val="20"/>
          <w:szCs w:val="20"/>
        </w:rPr>
        <w:t xml:space="preserve">alt_depth</w:t>
      </w:r>
      <w:r>
        <w:rPr>
          <w:rFonts w:ascii="Arial" w:cs="Arial" w:eastAsia="Arial" w:hAnsi="Arial"/>
          <w:color w:val="1A1A1A"/>
          <w:sz w:val="22"/>
          <w:szCs w:val="22"/>
        </w:rPr>
        <w:t xml:space="preserve">) were included in the feature set but </w:t>
      </w:r>
      <w:r>
        <w:rPr>
          <w:rFonts w:ascii="Arial" w:cs="Arial" w:eastAsia="Arial" w:hAnsi="Arial"/>
          <w:b/>
          <w:bCs/>
          <w:color w:val="1A1A1A"/>
          <w:sz w:val="22"/>
          <w:szCs w:val="22"/>
        </w:rPr>
        <w:t xml:space="preserve">allele-balance-derived coverage summaries were not used as primary discriminating features</w:t>
      </w:r>
      <w:r>
        <w:rPr>
          <w:rFonts w:ascii="Arial" w:cs="Arial" w:eastAsia="Arial" w:hAnsi="Arial"/>
          <w:color w:val="1A1A1A"/>
          <w:sz w:val="22"/>
          <w:szCs w:val="22"/>
        </w:rPr>
        <w:t xml:space="preserve"> by design. To prevent the model from reproducing the variant caller's own heuristics, which rely heavily on depth and allele frequency, we verified via feature importance analysis that the top predictive features were alignment artifact signals rather than coverage statistics. This design choice is described further in Section 4.</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3.6  Probability Calibration and Threshold Selection</w:t>
      </w:r>
    </w:p>
    <w:p>
      <w:pPr>
        <w:pStyle w:val="Heading3"/>
        <w:spacing w:before="200" w:after="80"/>
      </w:pPr>
      <w:r>
        <w:rPr>
          <w:rFonts w:ascii="Arial" w:cs="Arial" w:eastAsia="Arial" w:hAnsi="Arial"/>
          <w:b/>
          <w:bCs/>
          <w:i/>
          <w:iCs/>
          <w:color w:val="2C5F8A"/>
          <w:sz w:val="24"/>
          <w:szCs w:val="24"/>
        </w:rPr>
        <w:t xml:space="preserve">3.6.1  Calibration</w:t>
      </w:r>
    </w:p>
    <w:p>
      <w:pPr>
        <w:spacing w:before="80" w:after="140"/>
      </w:pPr>
      <w:r>
        <w:rPr>
          <w:rFonts w:ascii="Arial" w:cs="Arial" w:eastAsia="Arial" w:hAnsi="Arial"/>
          <w:color w:val="1A1A1A"/>
          <w:sz w:val="22"/>
          <w:szCs w:val="22"/>
        </w:rPr>
        <w:t xml:space="preserve">Raw LightGBM output scores are not guaranteed to be well-calibrated probabilities. Following training, Platt scaling was applied: a logistic regression model was fit on a held-out calibration set (the validation split, after training completion) mapping raw model scores to empirical positive rates. The calibrated output P̂(T=1 | x) can be interpreted as a posterior probability of biological validity and is propagated to the output VCF as the DIRA_PROB INFO field.</w:t>
      </w:r>
    </w:p>
    <w:p>
      <w:pPr>
        <w:spacing w:before="80" w:after="140"/>
      </w:pPr>
      <w:r>
        <w:rPr>
          <w:rFonts w:ascii="Arial" w:cs="Arial" w:eastAsia="Arial" w:hAnsi="Arial"/>
          <w:color w:val="1A1A1A"/>
          <w:sz w:val="22"/>
          <w:szCs w:val="22"/>
        </w:rPr>
        <w:t xml:space="preserve">Calibration quality is assessed using reliability diagrams and expected calibration error (ECE), defined as the weighted mean absolute deviation between mean predicted confidence and observed positive fraction across 15 equal-width probability bins. A well-calibrated model achieves ECE &lt; 0.05.</w:t>
      </w:r>
    </w:p>
    <w:p>
      <w:pPr>
        <w:pStyle w:val="Heading3"/>
        <w:spacing w:before="200" w:after="80"/>
      </w:pPr>
      <w:r>
        <w:rPr>
          <w:rFonts w:ascii="Arial" w:cs="Arial" w:eastAsia="Arial" w:hAnsi="Arial"/>
          <w:b/>
          <w:bCs/>
          <w:i/>
          <w:iCs/>
          <w:color w:val="2C5F8A"/>
          <w:sz w:val="24"/>
          <w:szCs w:val="24"/>
        </w:rPr>
        <w:t xml:space="preserve">3.6.2  Threshold Selection and QUAL Recalibration</w:t>
      </w:r>
    </w:p>
    <w:p>
      <w:pPr>
        <w:spacing w:before="80" w:after="140"/>
      </w:pPr>
      <w:r>
        <w:rPr>
          <w:rFonts w:ascii="Arial" w:cs="Arial" w:eastAsia="Arial" w:hAnsi="Arial"/>
          <w:color w:val="1A1A1A"/>
          <w:sz w:val="22"/>
          <w:szCs w:val="22"/>
        </w:rPr>
        <w:t xml:space="preserve">The decision threshold </w:t>
      </w:r>
      <w:r>
        <w:rPr>
          <w:rFonts w:ascii="Arial" w:cs="Arial" w:eastAsia="Arial" w:hAnsi="Arial"/>
          <w:i/>
          <w:iCs/>
          <w:color w:val="1A1A1A"/>
          <w:sz w:val="22"/>
          <w:szCs w:val="22"/>
        </w:rPr>
        <w:t xml:space="preserve">τ</w:t>
      </w:r>
      <w:r>
        <w:rPr>
          <w:rFonts w:ascii="Arial" w:cs="Arial" w:eastAsia="Arial" w:hAnsi="Arial"/>
          <w:color w:val="1A1A1A"/>
          <w:sz w:val="22"/>
          <w:szCs w:val="22"/>
        </w:rPr>
        <w:t xml:space="preserve"> is selected to maximize F1 score on the validation set across the full precision-recall curve. This is equivalent to finding the operating point that minimizes the harmonic mean of false positive and false negative rates simultaneously. The selected threshold for the reported model was </w:t>
      </w:r>
      <w:r>
        <w:rPr>
          <w:rFonts w:ascii="Arial" w:cs="Arial" w:eastAsia="Arial" w:hAnsi="Arial"/>
          <w:i/>
          <w:iCs/>
          <w:color w:val="1A1A1A"/>
          <w:sz w:val="22"/>
          <w:szCs w:val="22"/>
        </w:rPr>
        <w:t xml:space="preserve">τ</w:t>
      </w:r>
      <w:r>
        <w:rPr>
          <w:rFonts w:ascii="Arial" w:cs="Arial" w:eastAsia="Arial" w:hAnsi="Arial"/>
          <w:color w:val="1A1A1A"/>
          <w:sz w:val="22"/>
          <w:szCs w:val="22"/>
        </w:rPr>
        <w:t xml:space="preserve"> = 0.2531.</w:t>
      </w:r>
    </w:p>
    <w:p>
      <w:pPr>
        <w:spacing w:before="80" w:after="140"/>
      </w:pPr>
      <w:r>
        <w:rPr>
          <w:rFonts w:ascii="Arial" w:cs="Arial" w:eastAsia="Arial" w:hAnsi="Arial"/>
          <w:color w:val="1A1A1A"/>
          <w:sz w:val="22"/>
          <w:szCs w:val="22"/>
        </w:rPr>
        <w:t xml:space="preserve">QUAL scores in the output VCF are recalibrated from the calibrated posterior probability as: </w:t>
      </w:r>
      <w:r>
        <w:rPr>
          <w:rFonts w:ascii="Arial" w:cs="Arial" w:eastAsia="Arial" w:hAnsi="Arial"/>
          <w:i/>
          <w:iCs/>
          <w:color w:val="1A1A1A"/>
          <w:sz w:val="22"/>
          <w:szCs w:val="22"/>
        </w:rPr>
        <w:t xml:space="preserve">QUAL′ = −10 · log₁₀(1 − P̂)</w:t>
      </w:r>
      <w:r>
        <w:rPr>
          <w:rFonts w:ascii="Arial" w:cs="Arial" w:eastAsia="Arial" w:hAnsi="Arial"/>
          <w:color w:val="1A1A1A"/>
          <w:sz w:val="22"/>
          <w:szCs w:val="22"/>
        </w:rPr>
        <w:t xml:space="preserve">. This transformation produces a Phred-scaled quality score interpretable in the same framework as conventional GATK QUAL scores, enabling downstream tools that filter on QUAL to use DIRA's calibrated evidence directly.</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3.7  Inference Pipeline</w:t>
      </w:r>
    </w:p>
    <w:p>
      <w:pPr>
        <w:spacing w:before="80" w:after="140"/>
      </w:pPr>
      <w:r>
        <w:rPr>
          <w:rFonts w:ascii="Arial" w:cs="Arial" w:eastAsia="Arial" w:hAnsi="Arial"/>
          <w:color w:val="1A1A1A"/>
          <w:sz w:val="22"/>
          <w:szCs w:val="22"/>
        </w:rPr>
        <w:t xml:space="preserve">At inference time, the trained model is applied to a new candidate VCF as follows. For each indel candidate, the feature vector is computed by re-querying the BAM using the same extraction procedure as training. The feature vector is passed to the LightGBM ensemble to produce a raw score, which is transformed to a calibrated probability via the fitted Platt scaler. Variants with calibrated probability below τ are annotated with the FILTER tag DIRA_FILTERED. All variants, regardless of filter status, receive an updated QUAL score and a DIRA_PROB INFO field containing the calibrated posterior probability.</w:t>
      </w:r>
    </w:p>
    <w:p>
      <w:pPr>
        <w:spacing w:before="80" w:after="140"/>
      </w:pPr>
      <w:r>
        <w:rPr>
          <w:rFonts w:ascii="Arial" w:cs="Arial" w:eastAsia="Arial" w:hAnsi="Arial"/>
          <w:color w:val="1A1A1A"/>
          <w:sz w:val="22"/>
          <w:szCs w:val="22"/>
        </w:rPr>
        <w:t xml:space="preserve">SNP records in the input VCF are passed through without modification. Multi-allelic indel records are handled by computing a per-alt probability and applying the filter if all alt alleles fall below threshold. The inference step requires only the BAM file and reference FASTA; no retraining is required when applying a trained model to new samples.</w:t>
      </w:r>
    </w:p>
    <w:p>
      <w:pPr>
        <w:spacing w:before="0" w:after="80"/>
      </w:pPr>
      <w:r>
        <w:t xml:space="preserve"/>
      </w:r>
    </w:p>
    <w:p>
      <w:pPr>
        <w:pStyle w:val="Heading2"/>
        <w:spacing w:before="280" w:after="120"/>
      </w:pPr>
      <w:r>
        <w:rPr>
          <w:rFonts w:ascii="Arial" w:cs="Arial" w:eastAsia="Arial" w:hAnsi="Arial"/>
          <w:b/>
          <w:bCs/>
          <w:color w:val="2E75B6"/>
          <w:sz w:val="26"/>
          <w:szCs w:val="26"/>
        </w:rPr>
        <w:t xml:space="preserve">3.8  Evaluation Methodology</w:t>
      </w:r>
    </w:p>
    <w:p>
      <w:pPr>
        <w:pStyle w:val="Heading3"/>
        <w:spacing w:before="200" w:after="80"/>
      </w:pPr>
      <w:r>
        <w:rPr>
          <w:rFonts w:ascii="Arial" w:cs="Arial" w:eastAsia="Arial" w:hAnsi="Arial"/>
          <w:b/>
          <w:bCs/>
          <w:i/>
          <w:iCs/>
          <w:color w:val="2C5F8A"/>
          <w:sz w:val="24"/>
          <w:szCs w:val="24"/>
        </w:rPr>
        <w:t xml:space="preserve">3.8.1  Primary Evaluation</w:t>
      </w:r>
    </w:p>
    <w:p>
      <w:pPr>
        <w:spacing w:before="80" w:after="140"/>
      </w:pPr>
      <w:r>
        <w:rPr>
          <w:rFonts w:ascii="Arial" w:cs="Arial" w:eastAsia="Arial" w:hAnsi="Arial"/>
          <w:color w:val="1A1A1A"/>
          <w:sz w:val="22"/>
          <w:szCs w:val="22"/>
        </w:rPr>
        <w:t xml:space="preserve">All evaluations were performed using RTG Tools vcfeval version 3.12 [CITATION] with the GIAB HG002 v4.2.1 truth set restricted to the high-confidence region BED file. Evaluation was restricted to chromosome 20, which was held out from all training and validation steps. The primary evaluation metrics are precision, recall, and F1 score for indels only (SNPs excluded). The optimal-threshold row (maximized F-measure) and the unthresholded row (</w:t>
      </w:r>
      <w:r>
        <w:rPr>
          <w:rFonts w:ascii="Courier New" w:cs="Courier New" w:eastAsia="Courier New" w:hAnsi="Courier New"/>
          <w:color w:val="333333"/>
          <w:sz w:val="20"/>
          <w:szCs w:val="20"/>
        </w:rPr>
        <w:t xml:space="preserve">None</w:t>
      </w:r>
      <w:r>
        <w:rPr>
          <w:rFonts w:ascii="Arial" w:cs="Arial" w:eastAsia="Arial" w:hAnsi="Arial"/>
          <w:color w:val="1A1A1A"/>
          <w:sz w:val="22"/>
          <w:szCs w:val="22"/>
        </w:rPr>
        <w:t xml:space="preserve">) are both reported, as the latter characterizes the quality of the probability ranking independently of threshold choice.</w:t>
      </w:r>
    </w:p>
    <w:p>
      <w:pPr>
        <w:pStyle w:val="Heading3"/>
        <w:spacing w:before="200" w:after="80"/>
      </w:pPr>
      <w:r>
        <w:rPr>
          <w:rFonts w:ascii="Arial" w:cs="Arial" w:eastAsia="Arial" w:hAnsi="Arial"/>
          <w:b/>
          <w:bCs/>
          <w:i/>
          <w:iCs/>
          <w:color w:val="2C5F8A"/>
          <w:sz w:val="24"/>
          <w:szCs w:val="24"/>
        </w:rPr>
        <w:t xml:space="preserve">3.8.2  Baselines</w:t>
      </w:r>
    </w:p>
    <w:p>
      <w:pPr>
        <w:spacing w:before="80" w:after="140"/>
      </w:pPr>
      <w:r>
        <w:rPr>
          <w:rFonts w:ascii="Arial" w:cs="Arial" w:eastAsia="Arial" w:hAnsi="Arial"/>
          <w:color w:val="1A1A1A"/>
          <w:sz w:val="22"/>
          <w:szCs w:val="22"/>
        </w:rPr>
        <w:t xml:space="preserve">DIRA is compared against the following baselines under identical evaluation conditions on the same chromosome 20 truth set. Raw bcftools output at its optimal QUAL threshold (threshold = 81, selected by RTG vcfeval) serves as the primary baseline. The unthresholded bcftools output (all calls retained) serves as a recall upper bound. GATK HaplotypeCaller and DeepVariant outputs on the same BAM serve as assembly-based and deep-learning upper bounds respectively. GATK VQSR applied to bcftools output serves as the closest existing refinement-layer comparison.</w:t>
      </w:r>
    </w:p>
    <w:p>
      <w:pPr>
        <w:pStyle w:val="Heading3"/>
        <w:spacing w:before="200" w:after="80"/>
      </w:pPr>
      <w:r>
        <w:rPr>
          <w:rFonts w:ascii="Arial" w:cs="Arial" w:eastAsia="Arial" w:hAnsi="Arial"/>
          <w:b/>
          <w:bCs/>
          <w:i/>
          <w:iCs/>
          <w:color w:val="2C5F8A"/>
          <w:sz w:val="24"/>
          <w:szCs w:val="24"/>
        </w:rPr>
        <w:t xml:space="preserve">3.8.3  Stratified Evaluation</w:t>
      </w:r>
    </w:p>
    <w:p>
      <w:pPr>
        <w:spacing w:before="80" w:after="140"/>
      </w:pPr>
      <w:r>
        <w:rPr>
          <w:rFonts w:ascii="Arial" w:cs="Arial" w:eastAsia="Arial" w:hAnsi="Arial"/>
          <w:color w:val="1A1A1A"/>
          <w:sz w:val="22"/>
          <w:szCs w:val="22"/>
        </w:rPr>
        <w:t xml:space="preserve">To assess performance in genomically difficult regions, vcfeval is additionally run with --evaluation-regions restricted to each of the following GA4GH stratification BED files: long homopolymers (≥ 7 bp), tandem repeats, segmental duplications, low-mappability regions, and the union alldifficultregions stratum. Easy-region performance (notinalldifficultregions) is reported as a sanity check. Stratified evaluation is reported as F1 per stratum for DIRA and all baselines.</w:t>
      </w:r>
    </w:p>
    <w:p>
      <w:pPr>
        <w:pStyle w:val="Heading3"/>
        <w:spacing w:before="200" w:after="80"/>
      </w:pPr>
      <w:r>
        <w:rPr>
          <w:rFonts w:ascii="Arial" w:cs="Arial" w:eastAsia="Arial" w:hAnsi="Arial"/>
          <w:b/>
          <w:bCs/>
          <w:i/>
          <w:iCs/>
          <w:color w:val="2C5F8A"/>
          <w:sz w:val="24"/>
          <w:szCs w:val="24"/>
        </w:rPr>
        <w:t xml:space="preserve">3.8.4  Depth-Stratified Evaluation</w:t>
      </w:r>
    </w:p>
    <w:p>
      <w:pPr>
        <w:spacing w:before="80" w:after="140"/>
      </w:pPr>
      <w:r>
        <w:rPr>
          <w:rFonts w:ascii="Arial" w:cs="Arial" w:eastAsia="Arial" w:hAnsi="Arial"/>
          <w:color w:val="1A1A1A"/>
          <w:sz w:val="22"/>
          <w:szCs w:val="22"/>
        </w:rPr>
        <w:t xml:space="preserve">To evaluate performance at reduced sequencing depth, the HG002 BAM was downsampled to 15× and 10× using </w:t>
      </w:r>
      <w:r>
        <w:rPr>
          <w:rFonts w:ascii="Courier New" w:cs="Courier New" w:eastAsia="Courier New" w:hAnsi="Courier New"/>
          <w:color w:val="333333"/>
          <w:sz w:val="20"/>
          <w:szCs w:val="20"/>
        </w:rPr>
        <w:t xml:space="preserve">samtools view -s</w:t>
      </w:r>
      <w:r>
        <w:rPr>
          <w:rFonts w:ascii="Arial" w:cs="Arial" w:eastAsia="Arial" w:hAnsi="Arial"/>
          <w:color w:val="1A1A1A"/>
          <w:sz w:val="22"/>
          <w:szCs w:val="22"/>
        </w:rPr>
        <w:t xml:space="preserve"> with fixed random seeds for reproducibility. The same trained model (trained at 30×) was applied without retraining. F1 degradation curves across depth for DIRA and bcftools raw output quantify the relative benefit of DIRA at low coverage — a key claim of the framework.</w:t>
      </w:r>
    </w:p>
    <w:p>
      <w:pPr>
        <w:spacing w:before="0" w:after="160"/>
      </w:pPr>
      <w:r>
        <w:t xml:space="preserve"/>
      </w:r>
    </w:p>
    <w:p>
      <w:pPr>
        <w:pStyle w:val="Heading2"/>
        <w:spacing w:before="280" w:after="120"/>
      </w:pPr>
      <w:r>
        <w:rPr>
          <w:rFonts w:ascii="Arial" w:cs="Arial" w:eastAsia="Arial" w:hAnsi="Arial"/>
          <w:b/>
          <w:bCs/>
          <w:color w:val="2E75B6"/>
          <w:sz w:val="26"/>
          <w:szCs w:val="26"/>
        </w:rPr>
        <w:t xml:space="preserve">References (Methods Section)</w:t>
      </w:r>
    </w:p>
    <w:p>
      <w:pPr>
        <w:spacing w:before="80" w:after="140"/>
      </w:pPr>
      <w:r>
        <w:rPr>
          <w:rFonts w:ascii="Arial" w:cs="Arial" w:eastAsia="Arial" w:hAnsi="Arial"/>
          <w:b/>
          <w:bCs/>
          <w:color w:val="1A1A1A"/>
          <w:sz w:val="22"/>
          <w:szCs w:val="22"/>
        </w:rPr>
        <w:t xml:space="preserve">[CITATION] Zook et al. (2019)</w:t>
      </w:r>
      <w:r>
        <w:rPr>
          <w:rFonts w:ascii="Arial" w:cs="Arial" w:eastAsia="Arial" w:hAnsi="Arial"/>
          <w:color w:val="1A1A1A"/>
          <w:sz w:val="22"/>
          <w:szCs w:val="22"/>
        </w:rPr>
        <w:t xml:space="preserve"> — An open resource for accurately benchmarking small variant and reference calls. Nature Biotechnology 37, 561–566.</w:t>
      </w:r>
    </w:p>
    <w:p>
      <w:pPr>
        <w:spacing w:before="80" w:after="140"/>
      </w:pPr>
      <w:r>
        <w:rPr>
          <w:rFonts w:ascii="Arial" w:cs="Arial" w:eastAsia="Arial" w:hAnsi="Arial"/>
          <w:b/>
          <w:bCs/>
          <w:color w:val="1A1A1A"/>
          <w:sz w:val="22"/>
          <w:szCs w:val="22"/>
        </w:rPr>
        <w:t xml:space="preserve">[CITATION] Freed et al. (2022)</w:t>
      </w:r>
      <w:r>
        <w:rPr>
          <w:rFonts w:ascii="Arial" w:cs="Arial" w:eastAsia="Arial" w:hAnsi="Arial"/>
          <w:color w:val="1A1A1A"/>
          <w:sz w:val="22"/>
          <w:szCs w:val="22"/>
        </w:rPr>
        <w:t xml:space="preserve"> — DNAscope: High accuracy small variant calling using machine learning. bioRxiv.</w:t>
      </w:r>
    </w:p>
    <w:p>
      <w:pPr>
        <w:spacing w:before="80" w:after="140"/>
      </w:pPr>
      <w:r>
        <w:rPr>
          <w:rFonts w:ascii="Arial" w:cs="Arial" w:eastAsia="Arial" w:hAnsi="Arial"/>
          <w:b/>
          <w:bCs/>
          <w:color w:val="1A1A1A"/>
          <w:sz w:val="22"/>
          <w:szCs w:val="22"/>
        </w:rPr>
        <w:t xml:space="preserve">[CITATION] Challis et al. (2012)</w:t>
      </w:r>
      <w:r>
        <w:rPr>
          <w:rFonts w:ascii="Arial" w:cs="Arial" w:eastAsia="Arial" w:hAnsi="Arial"/>
          <w:color w:val="1A1A1A"/>
          <w:sz w:val="22"/>
          <w:szCs w:val="22"/>
        </w:rPr>
        <w:t xml:space="preserve"> — An integrative variant analysis suite for whole exome next-generation sequencing data (Atlas2). BMC Bioinformatics 13, 8.</w:t>
      </w:r>
    </w:p>
    <w:p>
      <w:pPr>
        <w:spacing w:before="80" w:after="140"/>
      </w:pPr>
      <w:r>
        <w:rPr>
          <w:rFonts w:ascii="Arial" w:cs="Arial" w:eastAsia="Arial" w:hAnsi="Arial"/>
          <w:b/>
          <w:bCs/>
          <w:color w:val="1A1A1A"/>
          <w:sz w:val="22"/>
          <w:szCs w:val="22"/>
        </w:rPr>
        <w:t xml:space="preserve">[CITATION] bcbio-nextgen</w:t>
      </w:r>
      <w:r>
        <w:rPr>
          <w:rFonts w:ascii="Arial" w:cs="Arial" w:eastAsia="Arial" w:hAnsi="Arial"/>
          <w:color w:val="1A1A1A"/>
          <w:sz w:val="22"/>
          <w:szCs w:val="22"/>
        </w:rPr>
        <w:t xml:space="preserve"> — Validated, scalable, community developed variant calling pipeline. Blue Collar Bioinformatics.</w:t>
      </w:r>
    </w:p>
    <w:p>
      <w:pPr>
        <w:spacing w:before="80" w:after="140"/>
      </w:pPr>
      <w:r>
        <w:rPr>
          <w:rFonts w:ascii="Arial" w:cs="Arial" w:eastAsia="Arial" w:hAnsi="Arial"/>
          <w:b/>
          <w:bCs/>
          <w:color w:val="1A1A1A"/>
          <w:sz w:val="22"/>
          <w:szCs w:val="22"/>
        </w:rPr>
        <w:t xml:space="preserve">[CITATION] Ke et al. (2017)</w:t>
      </w:r>
      <w:r>
        <w:rPr>
          <w:rFonts w:ascii="Arial" w:cs="Arial" w:eastAsia="Arial" w:hAnsi="Arial"/>
          <w:color w:val="1A1A1A"/>
          <w:sz w:val="22"/>
          <w:szCs w:val="22"/>
        </w:rPr>
        <w:t xml:space="preserve"> — LightGBM: A highly efficient gradient boosting decision tree. NeurIPS.</w:t>
      </w:r>
    </w:p>
    <w:p>
      <w:pPr>
        <w:spacing w:before="80" w:after="140"/>
      </w:pPr>
      <w:r>
        <w:rPr>
          <w:rFonts w:ascii="Arial" w:cs="Arial" w:eastAsia="Arial" w:hAnsi="Arial"/>
          <w:b/>
          <w:bCs/>
          <w:color w:val="1A1A1A"/>
          <w:sz w:val="22"/>
          <w:szCs w:val="22"/>
        </w:rPr>
        <w:t xml:space="preserve">[CITATION] Cleary et al. (2015)</w:t>
      </w:r>
      <w:r>
        <w:rPr>
          <w:rFonts w:ascii="Arial" w:cs="Arial" w:eastAsia="Arial" w:hAnsi="Arial"/>
          <w:color w:val="1A1A1A"/>
          <w:sz w:val="22"/>
          <w:szCs w:val="22"/>
        </w:rPr>
        <w:t xml:space="preserve"> — Comparing variant call files for performance benchmarking of next-generation sequencing variant calling pipelines (RTG vcfeval). bioRxiv.</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spacing w:before="80"/>
    </w:pPr>
    <w:r>
      <w:rPr>
        <w:rFonts w:ascii="Arial" w:cs="Arial" w:eastAsia="Arial" w:hAnsi="Arial"/>
        <w:color w:val="999999"/>
        <w:sz w:val="18"/>
        <w:szCs w:val="18"/>
      </w:rPr>
      <w:t xml:space="preserve">DIRA: Calibrated Indel Refinement via Artifact-Aware Alignment Features  |  Methods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i/>
      <w:i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2026-03-06T22:03:31.712Z</dcterms:created>
  <dcterms:modified xsi:type="dcterms:W3CDTF">2026-03-06T22:03:31.713Z</dcterms:modified>
</cp:coreProperties>
</file>

<file path=docProps/custom.xml><?xml version="1.0" encoding="utf-8"?>
<Properties xmlns="http://schemas.openxmlformats.org/officeDocument/2006/custom-properties" xmlns:vt="http://schemas.openxmlformats.org/officeDocument/2006/docPropsVTypes"/>
</file>