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8693" w14:textId="0D568029" w:rsidR="009917BC" w:rsidRPr="009917BC" w:rsidRDefault="009917BC" w:rsidP="00F43085">
      <w:pPr>
        <w:rPr>
          <w:b/>
          <w:bCs/>
          <w:sz w:val="28"/>
          <w:szCs w:val="28"/>
          <w:u w:val="single"/>
        </w:rPr>
      </w:pPr>
      <w:r>
        <w:rPr>
          <w:b/>
          <w:bCs/>
          <w:sz w:val="28"/>
          <w:szCs w:val="28"/>
          <w:u w:val="single"/>
        </w:rPr>
        <w:t>Analysis of quality and integrity of data</w:t>
      </w:r>
    </w:p>
    <w:p w14:paraId="0FCDC628" w14:textId="264A3553" w:rsidR="00F43085" w:rsidRPr="00F43085" w:rsidRDefault="00F43085" w:rsidP="00F43085">
      <w:r w:rsidRPr="00F43085">
        <w:t>The data exhibits significant quality and integrity issues that would compromise any analysis relying on it. The primary concerns are:</w:t>
      </w:r>
    </w:p>
    <w:p w14:paraId="6437A28D" w14:textId="728F5BA7" w:rsidR="00F43085" w:rsidRDefault="00F43085" w:rsidP="00F43085">
      <w:pPr>
        <w:numPr>
          <w:ilvl w:val="0"/>
          <w:numId w:val="3"/>
        </w:numPr>
      </w:pPr>
      <w:r w:rsidRPr="00F43085">
        <w:rPr>
          <w:b/>
          <w:bCs/>
        </w:rPr>
        <w:t>Invalid Country Codes</w:t>
      </w:r>
      <w:r w:rsidRPr="00F43085">
        <w:t xml:space="preserve">: A substantial number of </w:t>
      </w:r>
      <w:r w:rsidR="00F434E6" w:rsidRPr="00F434E6">
        <w:t xml:space="preserve">records use </w:t>
      </w:r>
      <w:r w:rsidRPr="00F43085">
        <w:t>#N/A instead of a valid country code, representing critical missing data</w:t>
      </w:r>
      <w:r w:rsidR="00F434E6">
        <w:t>,</w:t>
      </w:r>
      <w:r w:rsidR="00F434E6" w:rsidRPr="009917BC">
        <w:rPr>
          <w:rFonts w:ascii="Segoe UI" w:hAnsi="Segoe UI" w:cs="Segoe UI"/>
          <w:color w:val="0F1115"/>
          <w:shd w:val="clear" w:color="auto" w:fill="FFFFFF"/>
        </w:rPr>
        <w:t> </w:t>
      </w:r>
      <w:r w:rsidR="00F434E6" w:rsidRPr="009917BC">
        <w:rPr>
          <w:rFonts w:cs="Segoe UI"/>
          <w:color w:val="0F1115"/>
          <w:shd w:val="clear" w:color="auto" w:fill="FFFFFF"/>
        </w:rPr>
        <w:t>approximately 5-7% of records</w:t>
      </w:r>
      <w:r w:rsidR="009917BC">
        <w:t xml:space="preserve">. Missing data was filled in with “Unknown” or “Unknown Country”.  </w:t>
      </w:r>
      <w:r w:rsidRPr="00F43085">
        <w:t>Additionally, some country codes may be outdated or non-standard.</w:t>
      </w:r>
      <w:r w:rsidR="009917BC">
        <w:t xml:space="preserve"> Missing data was filled in with “Unknown” or “Unknown Country”.</w:t>
      </w:r>
    </w:p>
    <w:p w14:paraId="2555E593" w14:textId="09BDC562" w:rsidR="00A94726" w:rsidRPr="00F43085" w:rsidRDefault="00A94726" w:rsidP="00F43085">
      <w:pPr>
        <w:numPr>
          <w:ilvl w:val="0"/>
          <w:numId w:val="3"/>
        </w:numPr>
      </w:pPr>
      <w:r>
        <w:rPr>
          <w:b/>
          <w:bCs/>
        </w:rPr>
        <w:t>Invalid Date Format</w:t>
      </w:r>
      <w:r w:rsidRPr="00A94726">
        <w:t>:</w:t>
      </w:r>
      <w:r>
        <w:t xml:space="preserve"> This</w:t>
      </w:r>
      <w:r w:rsidRPr="00A94726">
        <w:t xml:space="preserve"> </w:t>
      </w:r>
      <w:r>
        <w:t xml:space="preserve">issue actually has </w:t>
      </w:r>
      <w:r w:rsidRPr="00A94726">
        <w:rPr>
          <w:b/>
          <w:bCs/>
        </w:rPr>
        <w:t xml:space="preserve">a </w:t>
      </w:r>
      <w:r w:rsidRPr="00A94726">
        <w:rPr>
          <w:rStyle w:val="Strong"/>
          <w:b w:val="0"/>
          <w:bCs w:val="0"/>
        </w:rPr>
        <w:t>much bigger impact than it seems at first</w:t>
      </w:r>
      <w:r>
        <w:t>, and it can quietly distort almost every part of a Google Sheets analysis project. It was re-formatted as a “date” and not “text”.</w:t>
      </w:r>
    </w:p>
    <w:p w14:paraId="277AB8BA" w14:textId="33DFA859" w:rsidR="00F43085" w:rsidRPr="00F43085" w:rsidRDefault="00F43085" w:rsidP="00F43085">
      <w:pPr>
        <w:numPr>
          <w:ilvl w:val="0"/>
          <w:numId w:val="3"/>
        </w:numPr>
      </w:pPr>
      <w:r w:rsidRPr="00F43085">
        <w:rPr>
          <w:b/>
          <w:bCs/>
        </w:rPr>
        <w:t>Date Parsing Risk</w:t>
      </w:r>
      <w:r w:rsidRPr="00F43085">
        <w:t>: The dates are in MM/DD/YYYY format. While consistent, if this data w</w:t>
      </w:r>
      <w:r w:rsidR="009917BC">
        <w:t>as</w:t>
      </w:r>
      <w:r w:rsidRPr="00F43085">
        <w:t xml:space="preserve"> </w:t>
      </w:r>
      <w:r w:rsidR="009917BC">
        <w:t>imported</w:t>
      </w:r>
      <w:r w:rsidRPr="00F43085">
        <w:t xml:space="preserve"> into a system expecting DD/MM/YYYY, all dates would be misinterpreted, leading to catastrophic analysis failures.</w:t>
      </w:r>
    </w:p>
    <w:p w14:paraId="0D964F19" w14:textId="523AE2D9" w:rsidR="000E32A5" w:rsidRPr="004A3890" w:rsidRDefault="00EB1F97">
      <w:pPr>
        <w:rPr>
          <w:b/>
          <w:bCs/>
          <w:sz w:val="28"/>
          <w:szCs w:val="28"/>
          <w:u w:val="single"/>
        </w:rPr>
      </w:pPr>
      <w:r w:rsidRPr="004A3890">
        <w:rPr>
          <w:b/>
          <w:bCs/>
          <w:sz w:val="28"/>
          <w:szCs w:val="28"/>
          <w:u w:val="single"/>
        </w:rPr>
        <w:t>Identifying key business metrics</w:t>
      </w:r>
    </w:p>
    <w:p w14:paraId="70FDDC9F" w14:textId="30163940" w:rsidR="00EB1F97" w:rsidRDefault="00EB1F97" w:rsidP="00410ADA">
      <w:pPr>
        <w:spacing w:line="240" w:lineRule="auto"/>
        <w:rPr>
          <w:rFonts w:ascii="Segoe UI" w:hAnsi="Segoe UI" w:cs="Segoe UI"/>
          <w:color w:val="0F1115"/>
          <w:shd w:val="clear" w:color="auto" w:fill="FFFFFF"/>
        </w:rPr>
      </w:pPr>
      <w:r w:rsidRPr="00EB1F97">
        <w:t xml:space="preserve">Office Supplies is the </w:t>
      </w:r>
      <w:r>
        <w:t xml:space="preserve">leader.  With </w:t>
      </w:r>
      <w:r w:rsidRPr="00EB1F97">
        <w:t>only 1,342 units</w:t>
      </w:r>
      <w:r>
        <w:t xml:space="preserve">, it </w:t>
      </w:r>
      <w:r w:rsidRPr="00EB1F97">
        <w:t>generated more revenue than all other products combined</w:t>
      </w:r>
      <w:r>
        <w:t>.</w:t>
      </w:r>
      <w:r w:rsidRPr="00EB1F97">
        <w:t xml:space="preserve"> </w:t>
      </w:r>
      <w:r>
        <w:rPr>
          <w:rStyle w:val="Strong"/>
          <w:rFonts w:ascii="Segoe UI" w:hAnsi="Segoe UI" w:cs="Segoe UI"/>
          <w:b w:val="0"/>
          <w:bCs w:val="0"/>
          <w:color w:val="0F1115"/>
          <w:shd w:val="clear" w:color="auto" w:fill="FFFFFF"/>
        </w:rPr>
        <w:t xml:space="preserve">Clothes </w:t>
      </w:r>
      <w:r>
        <w:rPr>
          <w:rFonts w:ascii="Segoe UI" w:hAnsi="Segoe UI" w:cs="Segoe UI"/>
          <w:color w:val="0F1115"/>
          <w:shd w:val="clear" w:color="auto" w:fill="FFFFFF"/>
        </w:rPr>
        <w:t xml:space="preserve">has the highest margin (67%) but relatively low revenue ($630K). Additionally, </w:t>
      </w:r>
      <w:r w:rsidRPr="00EB1F97">
        <w:rPr>
          <w:rStyle w:val="Strong"/>
          <w:rFonts w:ascii="Segoe UI" w:hAnsi="Segoe UI" w:cs="Segoe UI"/>
          <w:b w:val="0"/>
          <w:bCs w:val="0"/>
          <w:color w:val="0F1115"/>
          <w:shd w:val="clear" w:color="auto" w:fill="FFFFFF"/>
        </w:rPr>
        <w:t>Baby Food</w:t>
      </w:r>
      <w:r>
        <w:rPr>
          <w:rFonts w:ascii="Segoe UI" w:hAnsi="Segoe UI" w:cs="Segoe UI"/>
          <w:color w:val="0F1115"/>
          <w:shd w:val="clear" w:color="auto" w:fill="FFFFFF"/>
        </w:rPr>
        <w:t xml:space="preserve"> has strong margin (37.5%) but minimal volume (46 units). </w:t>
      </w:r>
    </w:p>
    <w:p w14:paraId="56BFD84E" w14:textId="312F9275" w:rsidR="00EB1F97" w:rsidRDefault="00737047" w:rsidP="00FB3C74">
      <w:pPr>
        <w:pStyle w:val="ds-markdown-paragraph"/>
        <w:shd w:val="clear" w:color="auto" w:fill="FFFFFF"/>
        <w:spacing w:before="0" w:beforeAutospacing="0" w:after="0" w:afterAutospacing="0"/>
        <w:rPr>
          <w:rFonts w:ascii="Segoe UI" w:hAnsi="Segoe UI" w:cs="Segoe UI"/>
          <w:color w:val="0F1115"/>
        </w:rPr>
      </w:pPr>
      <w:r w:rsidRPr="00737047">
        <w:rPr>
          <w:rStyle w:val="Strong"/>
          <w:rFonts w:ascii="Segoe UI" w:eastAsiaTheme="majorEastAsia" w:hAnsi="Segoe UI" w:cs="Segoe UI"/>
          <w:b w:val="0"/>
          <w:bCs w:val="0"/>
          <w:color w:val="0F1115"/>
        </w:rPr>
        <w:t>Fruits</w:t>
      </w:r>
      <w:r>
        <w:rPr>
          <w:rStyle w:val="Strong"/>
          <w:rFonts w:ascii="Segoe UI" w:eastAsiaTheme="majorEastAsia" w:hAnsi="Segoe UI" w:cs="Segoe UI"/>
          <w:b w:val="0"/>
          <w:bCs w:val="0"/>
          <w:color w:val="0F1115"/>
        </w:rPr>
        <w:t xml:space="preserve"> came 2nd </w:t>
      </w:r>
      <w:r>
        <w:rPr>
          <w:rFonts w:ascii="Segoe UI" w:hAnsi="Segoe UI" w:cs="Segoe UI"/>
          <w:color w:val="0F1115"/>
        </w:rPr>
        <w:t xml:space="preserve">highest in volume selling (7,360 units) but only 11th in revenue and profit. This suggests either a very low unit price or some deep discounting. </w:t>
      </w:r>
      <w:r w:rsidRPr="00737047">
        <w:rPr>
          <w:rStyle w:val="Strong"/>
          <w:rFonts w:ascii="Segoe UI" w:eastAsiaTheme="majorEastAsia" w:hAnsi="Segoe UI" w:cs="Segoe UI"/>
          <w:b w:val="0"/>
          <w:bCs w:val="0"/>
          <w:color w:val="0F1115"/>
        </w:rPr>
        <w:t>Meat</w:t>
      </w:r>
      <w:r>
        <w:rPr>
          <w:rStyle w:val="Strong"/>
          <w:rFonts w:ascii="Segoe UI" w:eastAsiaTheme="majorEastAsia" w:hAnsi="Segoe UI" w:cs="Segoe UI"/>
          <w:b w:val="0"/>
          <w:bCs w:val="0"/>
          <w:color w:val="0F1115"/>
        </w:rPr>
        <w:t xml:space="preserve"> had a very low margin </w:t>
      </w:r>
      <w:r>
        <w:rPr>
          <w:rFonts w:ascii="Segoe UI" w:hAnsi="Segoe UI" w:cs="Segoe UI"/>
          <w:color w:val="0F1115"/>
        </w:rPr>
        <w:t xml:space="preserve">(13.6%) and moderate revenue. </w:t>
      </w:r>
      <w:r w:rsidRPr="00737047">
        <w:rPr>
          <w:rStyle w:val="Strong"/>
          <w:rFonts w:ascii="Segoe UI" w:eastAsiaTheme="majorEastAsia" w:hAnsi="Segoe UI" w:cs="Segoe UI"/>
          <w:b w:val="0"/>
          <w:bCs w:val="0"/>
          <w:color w:val="0F1115"/>
        </w:rPr>
        <w:t>Beverages &amp; Vegetables</w:t>
      </w:r>
      <w:r>
        <w:rPr>
          <w:rFonts w:ascii="Segoe UI" w:hAnsi="Segoe UI" w:cs="Segoe UI"/>
          <w:color w:val="0F1115"/>
        </w:rPr>
        <w:t xml:space="preserve"> had a </w:t>
      </w:r>
      <w:r w:rsidR="00FB3C74">
        <w:rPr>
          <w:rFonts w:ascii="Segoe UI" w:hAnsi="Segoe UI" w:cs="Segoe UI"/>
          <w:color w:val="0F1115"/>
        </w:rPr>
        <w:t>decent</w:t>
      </w:r>
      <w:r>
        <w:rPr>
          <w:rFonts w:ascii="Segoe UI" w:hAnsi="Segoe UI" w:cs="Segoe UI"/>
          <w:color w:val="0F1115"/>
        </w:rPr>
        <w:t xml:space="preserve"> volume of sale</w:t>
      </w:r>
      <w:r w:rsidR="00FB3C74">
        <w:rPr>
          <w:rFonts w:ascii="Segoe UI" w:hAnsi="Segoe UI" w:cs="Segoe UI"/>
          <w:color w:val="0F1115"/>
        </w:rPr>
        <w:t>s but l</w:t>
      </w:r>
      <w:r>
        <w:rPr>
          <w:rFonts w:ascii="Segoe UI" w:hAnsi="Segoe UI" w:cs="Segoe UI"/>
          <w:color w:val="0F1115"/>
        </w:rPr>
        <w:t>ow profit</w:t>
      </w:r>
      <w:r w:rsidR="00FB3C74">
        <w:rPr>
          <w:rFonts w:ascii="Segoe UI" w:hAnsi="Segoe UI" w:cs="Segoe UI"/>
          <w:color w:val="0F1115"/>
        </w:rPr>
        <w:t>.</w:t>
      </w:r>
    </w:p>
    <w:p w14:paraId="2188AC84" w14:textId="77777777" w:rsidR="00FB3C74" w:rsidRDefault="00FB3C74" w:rsidP="00FB3C74">
      <w:pPr>
        <w:pStyle w:val="ds-markdown-paragraph"/>
        <w:shd w:val="clear" w:color="auto" w:fill="FFFFFF"/>
        <w:spacing w:before="0" w:beforeAutospacing="0" w:after="0" w:afterAutospacing="0"/>
        <w:rPr>
          <w:rFonts w:ascii="Segoe UI" w:hAnsi="Segoe UI" w:cs="Segoe UI"/>
          <w:color w:val="0F1115"/>
        </w:rPr>
      </w:pPr>
    </w:p>
    <w:p w14:paraId="5AF5DF9B" w14:textId="668B4575" w:rsidR="00FB3C74" w:rsidRDefault="00FB3C74" w:rsidP="00FB3C74">
      <w:pPr>
        <w:pStyle w:val="ds-markdown-paragraph"/>
        <w:shd w:val="clear" w:color="auto" w:fill="FFFFFF"/>
        <w:spacing w:before="0" w:beforeAutospacing="0" w:after="0" w:afterAutospacing="0"/>
        <w:rPr>
          <w:rStyle w:val="Strong"/>
          <w:rFonts w:ascii="Segoe UI" w:eastAsiaTheme="majorEastAsia" w:hAnsi="Segoe UI" w:cs="Segoe UI"/>
          <w:b w:val="0"/>
          <w:bCs w:val="0"/>
          <w:color w:val="0F1115"/>
        </w:rPr>
      </w:pPr>
      <w:r w:rsidRPr="00FB3C74">
        <w:rPr>
          <w:rStyle w:val="Strong"/>
          <w:rFonts w:ascii="Segoe UI" w:eastAsiaTheme="majorEastAsia" w:hAnsi="Segoe UI" w:cs="Segoe UI"/>
          <w:b w:val="0"/>
          <w:bCs w:val="0"/>
          <w:color w:val="0F1115"/>
        </w:rPr>
        <w:t xml:space="preserve">Office Supplies alone accounts for </w:t>
      </w:r>
      <w:r>
        <w:rPr>
          <w:rStyle w:val="Strong"/>
          <w:rFonts w:ascii="Segoe UI" w:eastAsiaTheme="majorEastAsia" w:hAnsi="Segoe UI" w:cs="Segoe UI"/>
          <w:b w:val="0"/>
          <w:bCs w:val="0"/>
          <w:color w:val="0F1115"/>
        </w:rPr>
        <w:t xml:space="preserve">almost </w:t>
      </w:r>
      <w:r w:rsidRPr="00FB3C74">
        <w:rPr>
          <w:rStyle w:val="Strong"/>
          <w:rFonts w:ascii="Segoe UI" w:eastAsiaTheme="majorEastAsia" w:hAnsi="Segoe UI" w:cs="Segoe UI"/>
          <w:b w:val="0"/>
          <w:bCs w:val="0"/>
          <w:color w:val="0F1115"/>
        </w:rPr>
        <w:t>48% of total revenue</w:t>
      </w:r>
      <w:r>
        <w:rPr>
          <w:rFonts w:ascii="Segoe UI" w:hAnsi="Segoe UI" w:cs="Segoe UI"/>
          <w:color w:val="0F1115"/>
        </w:rPr>
        <w:t> ($5.71M out of $11.88M total).  The top 3 products (Office Supplies, Cereal, Baby Food) comprise </w:t>
      </w:r>
      <w:r w:rsidRPr="00FB3C74">
        <w:rPr>
          <w:rStyle w:val="Strong"/>
          <w:rFonts w:ascii="Segoe UI" w:eastAsiaTheme="majorEastAsia" w:hAnsi="Segoe UI" w:cs="Segoe UI"/>
          <w:b w:val="0"/>
          <w:bCs w:val="0"/>
          <w:color w:val="0F1115"/>
        </w:rPr>
        <w:t>69% of total revenue</w:t>
      </w:r>
      <w:r>
        <w:rPr>
          <w:rStyle w:val="Strong"/>
          <w:rFonts w:ascii="Segoe UI" w:eastAsiaTheme="majorEastAsia" w:hAnsi="Segoe UI" w:cs="Segoe UI"/>
          <w:b w:val="0"/>
          <w:bCs w:val="0"/>
          <w:color w:val="0F1115"/>
        </w:rPr>
        <w:t>.</w:t>
      </w:r>
    </w:p>
    <w:p w14:paraId="18EC455E" w14:textId="5CE130BB" w:rsidR="00410ADA" w:rsidRDefault="003E259E" w:rsidP="00410ADA">
      <w:pPr>
        <w:pStyle w:val="ds-markdown-paragraph"/>
        <w:spacing w:before="0" w:after="0"/>
        <w:rPr>
          <w:rFonts w:ascii="Segoe UI" w:hAnsi="Segoe UI" w:cs="Segoe UI"/>
          <w:color w:val="0F1115"/>
          <w:shd w:val="clear" w:color="auto" w:fill="FFFFFF"/>
        </w:rPr>
      </w:pPr>
      <w:r>
        <w:rPr>
          <w:rFonts w:ascii="Segoe UI" w:eastAsiaTheme="majorEastAsia" w:hAnsi="Segoe UI" w:cs="Segoe UI"/>
          <w:color w:val="0F1115"/>
        </w:rPr>
        <w:t>T</w:t>
      </w:r>
      <w:r w:rsidR="00410ADA" w:rsidRPr="00410ADA">
        <w:rPr>
          <w:rFonts w:ascii="Segoe UI" w:eastAsiaTheme="majorEastAsia" w:hAnsi="Segoe UI" w:cs="Segoe UI"/>
          <w:color w:val="0F1115"/>
        </w:rPr>
        <w:t>h</w:t>
      </w:r>
      <w:r w:rsidR="00410ADA">
        <w:rPr>
          <w:rFonts w:ascii="Segoe UI" w:eastAsiaTheme="majorEastAsia" w:hAnsi="Segoe UI" w:cs="Segoe UI"/>
          <w:color w:val="0F1115"/>
        </w:rPr>
        <w:t xml:space="preserve">is </w:t>
      </w:r>
      <w:r w:rsidR="00410ADA" w:rsidRPr="00410ADA">
        <w:rPr>
          <w:rFonts w:ascii="Segoe UI" w:eastAsiaTheme="majorEastAsia" w:hAnsi="Segoe UI" w:cs="Segoe UI"/>
          <w:color w:val="0F1115"/>
        </w:rPr>
        <w:t>business has one superstar (Office Supplies) carrying nearly half of total revenue</w:t>
      </w:r>
      <w:r w:rsidR="00410ADA">
        <w:rPr>
          <w:rFonts w:ascii="Segoe UI" w:eastAsiaTheme="majorEastAsia" w:hAnsi="Segoe UI" w:cs="Segoe UI"/>
          <w:color w:val="0F1115"/>
        </w:rPr>
        <w:t xml:space="preserve">. </w:t>
      </w:r>
      <w:r w:rsidR="00FC26FC">
        <w:rPr>
          <w:rFonts w:ascii="Segoe UI" w:eastAsiaTheme="majorEastAsia" w:hAnsi="Segoe UI" w:cs="Segoe UI"/>
          <w:color w:val="0F1115"/>
        </w:rPr>
        <w:t xml:space="preserve">It </w:t>
      </w:r>
      <w:r w:rsidR="00410ADA">
        <w:rPr>
          <w:rFonts w:ascii="Segoe UI" w:eastAsiaTheme="majorEastAsia" w:hAnsi="Segoe UI" w:cs="Segoe UI"/>
          <w:color w:val="0F1115"/>
        </w:rPr>
        <w:t xml:space="preserve">has </w:t>
      </w:r>
      <w:r w:rsidR="00410ADA" w:rsidRPr="00410ADA">
        <w:rPr>
          <w:rFonts w:ascii="Segoe UI" w:eastAsiaTheme="majorEastAsia" w:hAnsi="Segoe UI" w:cs="Segoe UI"/>
          <w:color w:val="0F1115"/>
        </w:rPr>
        <w:t xml:space="preserve">a healthy middle </w:t>
      </w:r>
      <w:r w:rsidR="00410ADA">
        <w:rPr>
          <w:rFonts w:ascii="Segoe UI" w:eastAsiaTheme="majorEastAsia" w:hAnsi="Segoe UI" w:cs="Segoe UI"/>
          <w:color w:val="0F1115"/>
        </w:rPr>
        <w:t xml:space="preserve">level </w:t>
      </w:r>
      <w:r w:rsidR="00410ADA" w:rsidRPr="00410ADA">
        <w:rPr>
          <w:rFonts w:ascii="Segoe UI" w:eastAsiaTheme="majorEastAsia" w:hAnsi="Segoe UI" w:cs="Segoe UI"/>
          <w:color w:val="0F1115"/>
        </w:rPr>
        <w:t>of profitable categories (Clothes, Cereal, Baby Food), and</w:t>
      </w:r>
      <w:r w:rsidR="00410ADA">
        <w:rPr>
          <w:rFonts w:ascii="Segoe UI" w:eastAsiaTheme="majorEastAsia" w:hAnsi="Segoe UI" w:cs="Segoe UI"/>
          <w:color w:val="0F1115"/>
        </w:rPr>
        <w:t xml:space="preserve"> </w:t>
      </w:r>
      <w:r w:rsidR="00410ADA" w:rsidRPr="00410ADA">
        <w:rPr>
          <w:rFonts w:ascii="Segoe UI" w:eastAsiaTheme="majorEastAsia" w:hAnsi="Segoe UI" w:cs="Segoe UI"/>
          <w:color w:val="0F1115"/>
        </w:rPr>
        <w:t>a</w:t>
      </w:r>
      <w:r w:rsidR="00410ADA">
        <w:rPr>
          <w:rFonts w:ascii="Segoe UI" w:hAnsi="Segoe UI" w:cs="Segoe UI"/>
          <w:color w:val="0F1115"/>
          <w:shd w:val="clear" w:color="auto" w:fill="FFFFFF"/>
        </w:rPr>
        <w:t xml:space="preserve"> cluster of underperforming categories such as: Fruits, Vegetables, and Beverages</w:t>
      </w:r>
      <w:r w:rsidR="00FC26FC">
        <w:rPr>
          <w:rFonts w:ascii="Segoe UI" w:hAnsi="Segoe UI" w:cs="Segoe UI"/>
          <w:color w:val="0F1115"/>
          <w:shd w:val="clear" w:color="auto" w:fill="FFFFFF"/>
        </w:rPr>
        <w:t xml:space="preserve">. </w:t>
      </w:r>
    </w:p>
    <w:p w14:paraId="7EDC1161" w14:textId="0FD42091" w:rsidR="009917BC" w:rsidRPr="009917BC" w:rsidRDefault="009917BC" w:rsidP="00410ADA">
      <w:pPr>
        <w:pStyle w:val="ds-markdown-paragraph"/>
        <w:spacing w:before="0" w:after="0"/>
        <w:rPr>
          <w:rFonts w:ascii="Segoe UI" w:hAnsi="Segoe UI" w:cs="Segoe UI"/>
          <w:b/>
          <w:bCs/>
          <w:color w:val="0F1115"/>
          <w:sz w:val="28"/>
          <w:szCs w:val="28"/>
          <w:shd w:val="clear" w:color="auto" w:fill="FFFFFF"/>
        </w:rPr>
      </w:pPr>
      <w:r>
        <w:rPr>
          <w:rFonts w:ascii="Segoe UI" w:hAnsi="Segoe UI" w:cs="Segoe UI"/>
          <w:b/>
          <w:bCs/>
          <w:color w:val="0F1115"/>
          <w:sz w:val="28"/>
          <w:szCs w:val="28"/>
          <w:u w:val="single"/>
          <w:shd w:val="clear" w:color="auto" w:fill="FFFFFF"/>
        </w:rPr>
        <w:t xml:space="preserve">Key </w:t>
      </w:r>
      <w:r w:rsidRPr="009917BC">
        <w:rPr>
          <w:rFonts w:asciiTheme="minorHAnsi" w:hAnsiTheme="minorHAnsi" w:cs="Segoe UI"/>
          <w:b/>
          <w:bCs/>
          <w:color w:val="0F1115"/>
          <w:sz w:val="28"/>
          <w:szCs w:val="28"/>
          <w:u w:val="single"/>
          <w:shd w:val="clear" w:color="auto" w:fill="FFFFFF"/>
        </w:rPr>
        <w:t>Business</w:t>
      </w:r>
      <w:r>
        <w:rPr>
          <w:rFonts w:ascii="Segoe UI" w:hAnsi="Segoe UI" w:cs="Segoe UI"/>
          <w:b/>
          <w:bCs/>
          <w:color w:val="0F1115"/>
          <w:sz w:val="28"/>
          <w:szCs w:val="28"/>
          <w:u w:val="single"/>
          <w:shd w:val="clear" w:color="auto" w:fill="FFFFFF"/>
        </w:rPr>
        <w:t xml:space="preserve"> Metrics of Company Data</w:t>
      </w:r>
    </w:p>
    <w:p w14:paraId="0E99722F" w14:textId="07453586" w:rsidR="00B0149A" w:rsidRDefault="00B0149A" w:rsidP="00B0149A">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There is s</w:t>
      </w:r>
      <w:r w:rsidRPr="00B0149A">
        <w:rPr>
          <w:rFonts w:eastAsia="Times New Roman" w:cs="Times New Roman"/>
          <w:kern w:val="0"/>
          <w14:ligatures w14:val="none"/>
        </w:rPr>
        <w:t xml:space="preserve">trong overall profitability </w:t>
      </w:r>
      <w:r>
        <w:rPr>
          <w:rFonts w:eastAsia="Times New Roman" w:cs="Times New Roman"/>
          <w:kern w:val="0"/>
          <w14:ligatures w14:val="none"/>
        </w:rPr>
        <w:t xml:space="preserve">of around </w:t>
      </w:r>
      <w:r w:rsidRPr="00B0149A">
        <w:rPr>
          <w:rFonts w:eastAsia="Times New Roman" w:cs="Times New Roman"/>
          <w:kern w:val="0"/>
          <w14:ligatures w14:val="none"/>
        </w:rPr>
        <w:t>30</w:t>
      </w:r>
      <w:r>
        <w:rPr>
          <w:rFonts w:eastAsia="Times New Roman" w:cs="Times New Roman"/>
          <w:kern w:val="0"/>
          <w14:ligatures w14:val="none"/>
        </w:rPr>
        <w:t xml:space="preserve">%.  There is a clear revenue leader (Office Supplies) with other high-margin categories (Clothes and Baby Food). </w:t>
      </w:r>
    </w:p>
    <w:p w14:paraId="2705F787" w14:textId="40090D9F" w:rsidR="008A05C9" w:rsidRDefault="00B0149A" w:rsidP="008A05C9">
      <w:pPr>
        <w:spacing w:before="100" w:beforeAutospacing="1" w:after="100" w:afterAutospacing="1" w:line="240" w:lineRule="auto"/>
        <w:rPr>
          <w:rFonts w:eastAsia="Times New Roman"/>
          <w:kern w:val="0"/>
          <w14:ligatures w14:val="none"/>
        </w:rPr>
      </w:pPr>
      <w:r>
        <w:rPr>
          <w:rFonts w:eastAsia="Times New Roman" w:cs="Times New Roman"/>
          <w:kern w:val="0"/>
          <w14:ligatures w14:val="none"/>
        </w:rPr>
        <w:lastRenderedPageBreak/>
        <w:t>However, there</w:t>
      </w:r>
      <w:r w:rsidR="008A05C9">
        <w:rPr>
          <w:rFonts w:eastAsia="Times New Roman" w:cs="Times New Roman"/>
          <w:kern w:val="0"/>
          <w14:ligatures w14:val="none"/>
        </w:rPr>
        <w:t xml:space="preserve"> are some </w:t>
      </w:r>
      <w:r w:rsidR="007A5DE3">
        <w:rPr>
          <w:rFonts w:eastAsia="Times New Roman" w:cs="Times New Roman"/>
          <w:kern w:val="0"/>
          <w14:ligatures w14:val="none"/>
        </w:rPr>
        <w:t>weaknesses</w:t>
      </w:r>
      <w:r w:rsidR="008A05C9">
        <w:rPr>
          <w:rFonts w:eastAsia="Times New Roman" w:cs="Times New Roman"/>
          <w:kern w:val="0"/>
          <w14:ligatures w14:val="none"/>
        </w:rPr>
        <w:t xml:space="preserve"> in the company sales.  For instance, there</w:t>
      </w:r>
      <w:r>
        <w:rPr>
          <w:rFonts w:eastAsia="Times New Roman" w:cs="Times New Roman"/>
          <w:kern w:val="0"/>
          <w14:ligatures w14:val="none"/>
        </w:rPr>
        <w:t xml:space="preserve"> is an over-reliance on one category (Office Supplies)</w:t>
      </w:r>
      <w:r w:rsidR="008A05C9">
        <w:rPr>
          <w:rFonts w:eastAsia="Times New Roman" w:cs="Times New Roman"/>
          <w:kern w:val="0"/>
          <w14:ligatures w14:val="none"/>
        </w:rPr>
        <w:t xml:space="preserve">. </w:t>
      </w:r>
      <w:r w:rsidR="008A05C9" w:rsidRPr="008A05C9">
        <w:rPr>
          <w:rFonts w:eastAsia="Times New Roman"/>
          <w:kern w:val="0"/>
          <w14:ligatures w14:val="none"/>
        </w:rPr>
        <w:t>If a large share of revenue comes from one categor</w:t>
      </w:r>
      <w:r w:rsidR="008A05C9">
        <w:rPr>
          <w:rFonts w:eastAsia="Times New Roman"/>
          <w:kern w:val="0"/>
          <w14:ligatures w14:val="none"/>
        </w:rPr>
        <w:t xml:space="preserve">y, any disruption can cause a major financial impact. There </w:t>
      </w:r>
      <w:r w:rsidR="007A5DE3">
        <w:rPr>
          <w:rFonts w:eastAsia="Times New Roman"/>
          <w:kern w:val="0"/>
          <w14:ligatures w14:val="none"/>
        </w:rPr>
        <w:t>are</w:t>
      </w:r>
      <w:r w:rsidR="008A05C9">
        <w:rPr>
          <w:rFonts w:eastAsia="Times New Roman"/>
          <w:kern w:val="0"/>
          <w14:ligatures w14:val="none"/>
        </w:rPr>
        <w:t xml:space="preserve"> also low-value and high-volume products such as Fish (7,360 units sold, revenue only about $68K, and profit of around $17K) which means high effort, low revenue per unit, and lower profit per unit. Lastly, there </w:t>
      </w:r>
      <w:r w:rsidR="007A5DE3">
        <w:rPr>
          <w:rFonts w:eastAsia="Times New Roman"/>
          <w:kern w:val="0"/>
          <w14:ligatures w14:val="none"/>
        </w:rPr>
        <w:t>are some</w:t>
      </w:r>
      <w:r w:rsidR="008A05C9">
        <w:rPr>
          <w:rFonts w:eastAsia="Times New Roman"/>
          <w:kern w:val="0"/>
          <w14:ligatures w14:val="none"/>
        </w:rPr>
        <w:t xml:space="preserve"> inefficient categories such as Meat where costs of production are high relative to revenue and profit margins are low (</w:t>
      </w:r>
      <w:r w:rsidR="007A5DE3">
        <w:rPr>
          <w:rFonts w:eastAsia="Times New Roman"/>
          <w:kern w:val="0"/>
          <w14:ligatures w14:val="none"/>
        </w:rPr>
        <w:t xml:space="preserve">Meat had around $364K in revenue but only about $49K in profit with a low approximate margin of 13%). </w:t>
      </w:r>
    </w:p>
    <w:p w14:paraId="34087BC2" w14:textId="54164771" w:rsidR="007A5DE3" w:rsidRPr="007A5DE3" w:rsidRDefault="007A5DE3" w:rsidP="008A05C9">
      <w:pPr>
        <w:spacing w:before="100" w:beforeAutospacing="1" w:after="100" w:afterAutospacing="1" w:line="240" w:lineRule="auto"/>
        <w:rPr>
          <w:rFonts w:eastAsia="Times New Roman"/>
          <w:kern w:val="0"/>
          <w:sz w:val="26"/>
          <w:szCs w:val="26"/>
          <w:lang w:val="tr-TR"/>
          <w14:ligatures w14:val="none"/>
        </w:rPr>
      </w:pPr>
      <w:r>
        <w:rPr>
          <w:rFonts w:eastAsia="Times New Roman"/>
          <w:kern w:val="0"/>
          <w14:ligatures w14:val="none"/>
        </w:rPr>
        <w:t xml:space="preserve">In </w:t>
      </w:r>
      <w:r w:rsidR="003417ED">
        <w:rPr>
          <w:rFonts w:eastAsia="Times New Roman"/>
          <w:kern w:val="0"/>
          <w14:ligatures w14:val="none"/>
        </w:rPr>
        <w:t>summation</w:t>
      </w:r>
      <w:r>
        <w:rPr>
          <w:rFonts w:eastAsia="Times New Roman"/>
          <w:kern w:val="0"/>
          <w14:ligatures w14:val="none"/>
        </w:rPr>
        <w:t>, there seems to be over-reliance on one product. Office Supplies dominates revenue and profit but has a lower margin (around 19%) compared to Clothes (</w:t>
      </w:r>
      <w:r w:rsidR="0025124A" w:rsidRPr="0025124A">
        <w:rPr>
          <w:rFonts w:eastAsia="Times New Roman"/>
          <w:kern w:val="0"/>
          <w14:ligatures w14:val="none"/>
        </w:rPr>
        <w:t>~</w:t>
      </w:r>
      <w:r w:rsidR="0025124A">
        <w:rPr>
          <w:rFonts w:eastAsia="Times New Roman"/>
          <w:kern w:val="0"/>
          <w14:ligatures w14:val="none"/>
        </w:rPr>
        <w:t>67%) or Baby Food (</w:t>
      </w:r>
      <w:r w:rsidR="0025124A" w:rsidRPr="0025124A">
        <w:rPr>
          <w:rFonts w:eastAsia="Times New Roman"/>
          <w:kern w:val="0"/>
          <w14:ligatures w14:val="none"/>
        </w:rPr>
        <w:t>~</w:t>
      </w:r>
      <w:r w:rsidR="0025124A">
        <w:rPr>
          <w:rFonts w:eastAsia="Times New Roman"/>
          <w:kern w:val="0"/>
          <w14:ligatures w14:val="none"/>
        </w:rPr>
        <w:t>37%) which can lead to fragility, slower growth, and/or lower long-term resilience.</w:t>
      </w:r>
    </w:p>
    <w:p w14:paraId="525ABACC" w14:textId="640F1A88" w:rsidR="00FB3C74" w:rsidRPr="003417ED" w:rsidRDefault="004A3890" w:rsidP="00FB3C74">
      <w:pPr>
        <w:pStyle w:val="ds-markdown-paragraph"/>
        <w:shd w:val="clear" w:color="auto" w:fill="FFFFFF"/>
        <w:spacing w:before="0" w:beforeAutospacing="0" w:after="0" w:afterAutospacing="0"/>
        <w:rPr>
          <w:rFonts w:asciiTheme="minorHAnsi" w:hAnsiTheme="minorHAnsi" w:cs="Segoe UI"/>
          <w:color w:val="0F1115"/>
          <w:sz w:val="20"/>
          <w:szCs w:val="20"/>
        </w:rPr>
      </w:pPr>
      <w:r w:rsidRPr="004A3890">
        <w:rPr>
          <w:rFonts w:asciiTheme="minorHAnsi" w:hAnsiTheme="minorHAnsi" w:cs="Segoe UI"/>
          <w:b/>
          <w:bCs/>
          <w:color w:val="0F1115"/>
          <w:sz w:val="28"/>
          <w:szCs w:val="28"/>
          <w:u w:val="single"/>
        </w:rPr>
        <w:t>Analysis of Sales by Product Category</w:t>
      </w:r>
      <w:r w:rsidR="003417ED" w:rsidRPr="003417ED">
        <w:rPr>
          <w:rFonts w:asciiTheme="minorHAnsi" w:hAnsiTheme="minorHAnsi" w:cs="Segoe UI"/>
          <w:b/>
          <w:bCs/>
          <w:color w:val="0F1115"/>
          <w:sz w:val="28"/>
          <w:szCs w:val="28"/>
        </w:rPr>
        <w:t xml:space="preserve"> </w:t>
      </w:r>
      <w:r w:rsidR="003417ED" w:rsidRPr="003417ED">
        <w:rPr>
          <w:rFonts w:asciiTheme="minorHAnsi" w:hAnsiTheme="minorHAnsi" w:cs="Segoe UI"/>
          <w:color w:val="0F1115"/>
          <w:sz w:val="20"/>
          <w:szCs w:val="20"/>
          <w:u w:val="single"/>
        </w:rPr>
        <w:t>(see</w:t>
      </w:r>
      <w:r w:rsidR="003417ED" w:rsidRPr="003417ED">
        <w:rPr>
          <w:rFonts w:asciiTheme="minorHAnsi" w:hAnsiTheme="minorHAnsi" w:cs="Segoe UI"/>
          <w:color w:val="0F1115"/>
          <w:sz w:val="20"/>
          <w:szCs w:val="20"/>
        </w:rPr>
        <w:t xml:space="preserve">, </w:t>
      </w:r>
      <w:hyperlink r:id="rId5" w:history="1">
        <w:r w:rsidR="003417ED" w:rsidRPr="003417ED">
          <w:rPr>
            <w:rStyle w:val="Hyperlink"/>
            <w:rFonts w:asciiTheme="minorHAnsi" w:hAnsiTheme="minorHAnsi"/>
            <w:sz w:val="20"/>
            <w:szCs w:val="20"/>
            <w:u w:val="none"/>
          </w:rPr>
          <w:t>https://docs.google.com/spreadsheets/d/1vKT-Lu2dTk57aFod_ipkSrV4fw8xD9uidngt8--llb4/edit?usp=sharing</w:t>
        </w:r>
      </w:hyperlink>
      <w:r w:rsidR="003417ED" w:rsidRPr="003417ED">
        <w:rPr>
          <w:rFonts w:asciiTheme="minorHAnsi" w:hAnsiTheme="minorHAnsi"/>
          <w:sz w:val="20"/>
          <w:szCs w:val="20"/>
        </w:rPr>
        <w:t>, 5. Product Popularity</w:t>
      </w:r>
    </w:p>
    <w:p w14:paraId="00E2AEF7" w14:textId="77777777" w:rsidR="004A3890" w:rsidRDefault="004A3890" w:rsidP="00FB3C74">
      <w:pPr>
        <w:pStyle w:val="ds-markdown-paragraph"/>
        <w:shd w:val="clear" w:color="auto" w:fill="FFFFFF"/>
        <w:spacing w:before="0" w:beforeAutospacing="0" w:after="0" w:afterAutospacing="0"/>
        <w:rPr>
          <w:rFonts w:asciiTheme="minorHAnsi" w:hAnsiTheme="minorHAnsi"/>
        </w:rPr>
      </w:pPr>
    </w:p>
    <w:p w14:paraId="33FE587D" w14:textId="4B6396C7" w:rsidR="0025124A" w:rsidRDefault="0025124A" w:rsidP="00FB3C74">
      <w:pPr>
        <w:pStyle w:val="ds-markdown-paragraph"/>
        <w:shd w:val="clear" w:color="auto" w:fill="FFFFFF"/>
        <w:spacing w:before="0" w:beforeAutospacing="0" w:after="0" w:afterAutospacing="0"/>
        <w:rPr>
          <w:rFonts w:asciiTheme="minorHAnsi" w:hAnsiTheme="minorHAnsi"/>
        </w:rPr>
      </w:pPr>
      <w:r>
        <w:rPr>
          <w:rFonts w:asciiTheme="minorHAnsi" w:hAnsiTheme="minorHAnsi"/>
        </w:rPr>
        <w:t>The most popular categories are Clothes (8,586 un</w:t>
      </w:r>
      <w:r w:rsidR="00792C00">
        <w:rPr>
          <w:rFonts w:asciiTheme="minorHAnsi" w:hAnsiTheme="minorHAnsi"/>
        </w:rPr>
        <w:t>i</w:t>
      </w:r>
      <w:r>
        <w:rPr>
          <w:rFonts w:asciiTheme="minorHAnsi" w:hAnsiTheme="minorHAnsi"/>
        </w:rPr>
        <w:t>ts), Fru</w:t>
      </w:r>
      <w:r w:rsidR="00792C00">
        <w:rPr>
          <w:rFonts w:asciiTheme="minorHAnsi" w:hAnsiTheme="minorHAnsi"/>
        </w:rPr>
        <w:t>i</w:t>
      </w:r>
      <w:r>
        <w:rPr>
          <w:rFonts w:asciiTheme="minorHAnsi" w:hAnsiTheme="minorHAnsi"/>
        </w:rPr>
        <w:t>ts</w:t>
      </w:r>
      <w:r w:rsidR="00792C00">
        <w:rPr>
          <w:rFonts w:asciiTheme="minorHAnsi" w:hAnsiTheme="minorHAnsi"/>
        </w:rPr>
        <w:t xml:space="preserve"> (7,360 units) Cereal (5,116 units) and Personal Care (4,419 units).  Thus customer demand is strongest for Clothes </w:t>
      </w:r>
      <w:r w:rsidR="00792C00" w:rsidRPr="00792C00">
        <w:rPr>
          <w:rFonts w:asciiTheme="minorHAnsi" w:hAnsiTheme="minorHAnsi"/>
        </w:rPr>
        <w:t xml:space="preserve">and everyday consumables.  </w:t>
      </w:r>
    </w:p>
    <w:p w14:paraId="0899B6AD" w14:textId="77777777" w:rsidR="00792C00" w:rsidRDefault="00792C00" w:rsidP="00FB3C74">
      <w:pPr>
        <w:pStyle w:val="ds-markdown-paragraph"/>
        <w:shd w:val="clear" w:color="auto" w:fill="FFFFFF"/>
        <w:spacing w:before="0" w:beforeAutospacing="0" w:after="0" w:afterAutospacing="0"/>
        <w:rPr>
          <w:rFonts w:asciiTheme="minorHAnsi" w:hAnsiTheme="minorHAnsi"/>
        </w:rPr>
      </w:pPr>
    </w:p>
    <w:p w14:paraId="3CBB079F" w14:textId="442ECB16" w:rsidR="00792C00" w:rsidRDefault="00792C00" w:rsidP="00FB3C74">
      <w:pPr>
        <w:pStyle w:val="ds-markdown-paragraph"/>
        <w:shd w:val="clear" w:color="auto" w:fill="FFFFFF"/>
        <w:spacing w:before="0" w:beforeAutospacing="0" w:after="0" w:afterAutospacing="0"/>
        <w:rPr>
          <w:rFonts w:asciiTheme="minorHAnsi" w:hAnsiTheme="minorHAnsi"/>
        </w:rPr>
      </w:pPr>
      <w:r>
        <w:rPr>
          <w:rFonts w:asciiTheme="minorHAnsi" w:hAnsiTheme="minorHAnsi"/>
        </w:rPr>
        <w:t xml:space="preserve">The least popular categories of product are Baby Food (46 units), Vegetables (286 units), and Meat (865 units).  However, low sales volume does not mean low value as will be explained  below. </w:t>
      </w:r>
    </w:p>
    <w:p w14:paraId="61C07F87" w14:textId="77777777" w:rsidR="00792C00" w:rsidRDefault="00792C00" w:rsidP="00FB3C74">
      <w:pPr>
        <w:pStyle w:val="ds-markdown-paragraph"/>
        <w:shd w:val="clear" w:color="auto" w:fill="FFFFFF"/>
        <w:spacing w:before="0" w:beforeAutospacing="0" w:after="0" w:afterAutospacing="0"/>
        <w:rPr>
          <w:rFonts w:asciiTheme="minorHAnsi" w:hAnsiTheme="minorHAnsi"/>
        </w:rPr>
      </w:pPr>
    </w:p>
    <w:p w14:paraId="01CEDFB6" w14:textId="593F2508" w:rsidR="00792C00" w:rsidRDefault="00792C00" w:rsidP="00FB3C74">
      <w:pPr>
        <w:pStyle w:val="ds-markdown-paragraph"/>
        <w:shd w:val="clear" w:color="auto" w:fill="FFFFFF"/>
        <w:spacing w:before="0" w:beforeAutospacing="0" w:after="0" w:afterAutospacing="0"/>
        <w:rPr>
          <w:rFonts w:asciiTheme="minorHAnsi" w:hAnsiTheme="minorHAnsi"/>
        </w:rPr>
      </w:pPr>
      <w:r>
        <w:rPr>
          <w:rFonts w:asciiTheme="minorHAnsi" w:hAnsiTheme="minorHAnsi"/>
        </w:rPr>
        <w:t xml:space="preserve">The top revenue generators </w:t>
      </w:r>
      <w:r w:rsidR="00967935">
        <w:rPr>
          <w:rFonts w:asciiTheme="minorHAnsi" w:hAnsiTheme="minorHAnsi"/>
        </w:rPr>
        <w:t>are</w:t>
      </w:r>
      <w:r>
        <w:rPr>
          <w:rFonts w:asciiTheme="minorHAnsi" w:hAnsiTheme="minorHAnsi"/>
        </w:rPr>
        <w:t xml:space="preserve"> Office Supplies ($5.71M), Baby Food ($1.45M), Household ($1.17M), and Cereal ($1.05M).  Unfortunately, revenue is highly concentrated, with Office Supplies comprising a large share of total income. </w:t>
      </w:r>
      <w:r w:rsidR="00967935">
        <w:rPr>
          <w:rFonts w:asciiTheme="minorHAnsi" w:hAnsiTheme="minorHAnsi"/>
        </w:rPr>
        <w:t xml:space="preserve"> </w:t>
      </w:r>
    </w:p>
    <w:p w14:paraId="427652E1" w14:textId="1BFA76C5" w:rsidR="00792C00" w:rsidRDefault="00792C00" w:rsidP="00FB3C74">
      <w:pPr>
        <w:pStyle w:val="ds-markdown-paragraph"/>
        <w:shd w:val="clear" w:color="auto" w:fill="FFFFFF"/>
        <w:spacing w:before="0" w:beforeAutospacing="0" w:after="0" w:afterAutospacing="0"/>
        <w:rPr>
          <w:rFonts w:asciiTheme="minorHAnsi" w:hAnsiTheme="minorHAnsi"/>
        </w:rPr>
      </w:pPr>
    </w:p>
    <w:p w14:paraId="2A5D5EA0" w14:textId="500524AA" w:rsidR="00792C00" w:rsidRDefault="00792C00" w:rsidP="00FB3C74">
      <w:pPr>
        <w:pStyle w:val="ds-markdown-paragraph"/>
        <w:shd w:val="clear" w:color="auto" w:fill="FFFFFF"/>
        <w:spacing w:before="0" w:beforeAutospacing="0" w:after="0" w:afterAutospacing="0"/>
        <w:rPr>
          <w:rFonts w:asciiTheme="minorHAnsi" w:hAnsiTheme="minorHAnsi"/>
        </w:rPr>
      </w:pPr>
      <w:r>
        <w:rPr>
          <w:rFonts w:asciiTheme="minorHAnsi" w:hAnsiTheme="minorHAnsi"/>
        </w:rPr>
        <w:t xml:space="preserve">Despite high-volume of sales, the lowest revenue generators </w:t>
      </w:r>
      <w:r w:rsidR="00967935">
        <w:rPr>
          <w:rFonts w:asciiTheme="minorHAnsi" w:hAnsiTheme="minorHAnsi"/>
        </w:rPr>
        <w:t>are</w:t>
      </w:r>
      <w:r>
        <w:rPr>
          <w:rFonts w:asciiTheme="minorHAnsi" w:hAnsiTheme="minorHAnsi"/>
        </w:rPr>
        <w:t xml:space="preserve"> Fruits ($68K) and Vegetables (</w:t>
      </w:r>
      <w:r w:rsidR="00967935">
        <w:rPr>
          <w:rFonts w:asciiTheme="minorHAnsi" w:hAnsiTheme="minorHAnsi"/>
        </w:rPr>
        <w:t xml:space="preserve">$44K).  </w:t>
      </w:r>
    </w:p>
    <w:p w14:paraId="7A2496B7" w14:textId="77777777" w:rsidR="00792C00" w:rsidRDefault="00792C00" w:rsidP="00FB3C74">
      <w:pPr>
        <w:pStyle w:val="ds-markdown-paragraph"/>
        <w:shd w:val="clear" w:color="auto" w:fill="FFFFFF"/>
        <w:spacing w:before="0" w:beforeAutospacing="0" w:after="0" w:afterAutospacing="0"/>
        <w:rPr>
          <w:rFonts w:asciiTheme="minorHAnsi" w:hAnsiTheme="minorHAnsi"/>
        </w:rPr>
      </w:pPr>
    </w:p>
    <w:p w14:paraId="40272042" w14:textId="6D1A381D" w:rsidR="00967935" w:rsidRDefault="00967935" w:rsidP="00FB3C74">
      <w:pPr>
        <w:pStyle w:val="ds-markdown-paragraph"/>
        <w:shd w:val="clear" w:color="auto" w:fill="FFFFFF"/>
        <w:spacing w:before="0" w:beforeAutospacing="0" w:after="0" w:afterAutospacing="0"/>
        <w:rPr>
          <w:rFonts w:asciiTheme="minorHAnsi" w:hAnsiTheme="minorHAnsi"/>
        </w:rPr>
      </w:pPr>
      <w:r>
        <w:rPr>
          <w:rFonts w:asciiTheme="minorHAnsi" w:hAnsiTheme="minorHAnsi"/>
        </w:rPr>
        <w:t xml:space="preserve">Although these categories are good revenue generators, they are expensive to operate (Office supplies ($4.61M), Baby Food ($903K), and Household ($878K).  However, profits can often justify high </w:t>
      </w:r>
      <w:r w:rsidR="00C61464">
        <w:rPr>
          <w:rFonts w:asciiTheme="minorHAnsi" w:hAnsiTheme="minorHAnsi"/>
        </w:rPr>
        <w:t>expenses</w:t>
      </w:r>
      <w:r>
        <w:rPr>
          <w:rFonts w:asciiTheme="minorHAnsi" w:hAnsiTheme="minorHAnsi"/>
        </w:rPr>
        <w:t xml:space="preserve">, such as </w:t>
      </w:r>
      <w:r w:rsidR="00C61464">
        <w:rPr>
          <w:rFonts w:asciiTheme="minorHAnsi" w:hAnsiTheme="minorHAnsi"/>
        </w:rPr>
        <w:t>Office supplies.</w:t>
      </w:r>
    </w:p>
    <w:p w14:paraId="2E6B2B6A" w14:textId="3DB2E4B7" w:rsidR="00967935" w:rsidRDefault="00967935" w:rsidP="00FB3C74">
      <w:pPr>
        <w:pStyle w:val="ds-markdown-paragraph"/>
        <w:shd w:val="clear" w:color="auto" w:fill="FFFFFF"/>
        <w:spacing w:before="0" w:beforeAutospacing="0" w:after="0" w:afterAutospacing="0"/>
        <w:rPr>
          <w:rFonts w:asciiTheme="minorHAnsi" w:hAnsiTheme="minorHAnsi"/>
        </w:rPr>
      </w:pPr>
    </w:p>
    <w:p w14:paraId="64562CE7" w14:textId="7E1C6D9C" w:rsidR="00967935" w:rsidRDefault="00C61464" w:rsidP="00FB3C74">
      <w:pPr>
        <w:pStyle w:val="ds-markdown-paragraph"/>
        <w:shd w:val="clear" w:color="auto" w:fill="FFFFFF"/>
        <w:spacing w:before="0" w:beforeAutospacing="0" w:after="0" w:afterAutospacing="0"/>
        <w:rPr>
          <w:rFonts w:asciiTheme="minorHAnsi" w:hAnsiTheme="minorHAnsi"/>
        </w:rPr>
      </w:pPr>
      <w:r>
        <w:rPr>
          <w:rFonts w:asciiTheme="minorHAnsi" w:hAnsiTheme="minorHAnsi"/>
        </w:rPr>
        <w:t xml:space="preserve">The categories that comprise the majority of total profit are Office Supplies ($1.11M), Clothes ($630K), Baby Food ($543K), and Cereal ($453K).  </w:t>
      </w:r>
    </w:p>
    <w:p w14:paraId="4E82CADB" w14:textId="77777777" w:rsidR="00C61464" w:rsidRDefault="00C61464" w:rsidP="00FB3C74">
      <w:pPr>
        <w:pStyle w:val="ds-markdown-paragraph"/>
        <w:shd w:val="clear" w:color="auto" w:fill="FFFFFF"/>
        <w:spacing w:before="0" w:beforeAutospacing="0" w:after="0" w:afterAutospacing="0"/>
        <w:rPr>
          <w:rFonts w:asciiTheme="minorHAnsi" w:hAnsiTheme="minorHAnsi"/>
        </w:rPr>
      </w:pPr>
    </w:p>
    <w:p w14:paraId="5B48B228" w14:textId="4C261CD9" w:rsidR="00967935" w:rsidRDefault="00C61464" w:rsidP="00FB3C74">
      <w:pPr>
        <w:pStyle w:val="ds-markdown-paragraph"/>
        <w:shd w:val="clear" w:color="auto" w:fill="FFFFFF"/>
        <w:spacing w:before="0" w:beforeAutospacing="0" w:after="0" w:afterAutospacing="0"/>
        <w:rPr>
          <w:rFonts w:asciiTheme="minorHAnsi" w:hAnsiTheme="minorHAnsi"/>
        </w:rPr>
      </w:pPr>
      <w:r>
        <w:rPr>
          <w:rFonts w:asciiTheme="minorHAnsi" w:hAnsiTheme="minorHAnsi"/>
        </w:rPr>
        <w:t xml:space="preserve">The lowest contributing products to profit are Fruit ($17.7K), Vegetables ($18K), and Meat ($49K). </w:t>
      </w:r>
    </w:p>
    <w:p w14:paraId="09339B65" w14:textId="77777777" w:rsidR="003E259E" w:rsidRDefault="003E259E" w:rsidP="00FB3C74">
      <w:pPr>
        <w:pStyle w:val="ds-markdown-paragraph"/>
        <w:shd w:val="clear" w:color="auto" w:fill="FFFFFF"/>
        <w:spacing w:before="0" w:beforeAutospacing="0" w:after="0" w:afterAutospacing="0"/>
        <w:rPr>
          <w:rFonts w:asciiTheme="minorHAnsi" w:hAnsiTheme="minorHAnsi"/>
        </w:rPr>
      </w:pPr>
    </w:p>
    <w:p w14:paraId="1009DBB9" w14:textId="77777777" w:rsidR="003E259E" w:rsidRDefault="003E259E" w:rsidP="00FB3C74">
      <w:pPr>
        <w:pStyle w:val="ds-markdown-paragraph"/>
        <w:shd w:val="clear" w:color="auto" w:fill="FFFFFF"/>
        <w:spacing w:before="0" w:beforeAutospacing="0" w:after="0" w:afterAutospacing="0"/>
        <w:rPr>
          <w:rFonts w:asciiTheme="minorHAnsi" w:hAnsiTheme="minorHAnsi"/>
        </w:rPr>
      </w:pPr>
    </w:p>
    <w:p w14:paraId="155D29E7" w14:textId="77777777" w:rsidR="00C61464" w:rsidRDefault="00C61464" w:rsidP="00FB3C74">
      <w:pPr>
        <w:pStyle w:val="ds-markdown-paragraph"/>
        <w:shd w:val="clear" w:color="auto" w:fill="FFFFFF"/>
        <w:spacing w:before="0" w:beforeAutospacing="0" w:after="0" w:afterAutospacing="0"/>
        <w:rPr>
          <w:rFonts w:asciiTheme="minorHAnsi" w:hAnsiTheme="minorHAnsi"/>
        </w:rPr>
      </w:pPr>
    </w:p>
    <w:p w14:paraId="4235697E" w14:textId="7887F4FE" w:rsidR="00C61464" w:rsidRPr="003417ED" w:rsidRDefault="00C61464" w:rsidP="00FB3C74">
      <w:pPr>
        <w:pStyle w:val="ds-markdown-paragraph"/>
        <w:shd w:val="clear" w:color="auto" w:fill="FFFFFF"/>
        <w:spacing w:before="0" w:beforeAutospacing="0" w:after="0" w:afterAutospacing="0"/>
        <w:rPr>
          <w:rFonts w:asciiTheme="minorHAnsi" w:hAnsiTheme="minorHAnsi"/>
          <w:b/>
          <w:bCs/>
          <w:sz w:val="20"/>
          <w:szCs w:val="20"/>
        </w:rPr>
      </w:pPr>
      <w:r w:rsidRPr="00C61464">
        <w:rPr>
          <w:rFonts w:asciiTheme="minorHAnsi" w:hAnsiTheme="minorHAnsi"/>
          <w:b/>
          <w:bCs/>
          <w:sz w:val="28"/>
          <w:szCs w:val="28"/>
          <w:u w:val="single"/>
        </w:rPr>
        <w:t>Analysis of Company’s Performance by Geography</w:t>
      </w:r>
      <w:r w:rsidR="003417ED">
        <w:rPr>
          <w:rFonts w:asciiTheme="minorHAnsi" w:hAnsiTheme="minorHAnsi"/>
          <w:b/>
          <w:bCs/>
          <w:sz w:val="28"/>
          <w:szCs w:val="28"/>
          <w:u w:val="single"/>
        </w:rPr>
        <w:t xml:space="preserve"> </w:t>
      </w:r>
      <w:r w:rsidR="003417ED" w:rsidRPr="003417ED">
        <w:rPr>
          <w:rFonts w:asciiTheme="minorHAnsi" w:hAnsiTheme="minorHAnsi"/>
          <w:b/>
          <w:bCs/>
          <w:sz w:val="20"/>
          <w:szCs w:val="20"/>
        </w:rPr>
        <w:t>(</w:t>
      </w:r>
      <w:r w:rsidR="003417ED" w:rsidRPr="003417ED">
        <w:rPr>
          <w:rFonts w:asciiTheme="minorHAnsi" w:hAnsiTheme="minorHAnsi"/>
          <w:b/>
          <w:bCs/>
          <w:sz w:val="20"/>
          <w:szCs w:val="20"/>
          <w:u w:val="single"/>
        </w:rPr>
        <w:t>See</w:t>
      </w:r>
      <w:r w:rsidR="003417ED">
        <w:rPr>
          <w:rFonts w:asciiTheme="minorHAnsi" w:hAnsiTheme="minorHAnsi"/>
          <w:b/>
          <w:bCs/>
          <w:sz w:val="20"/>
          <w:szCs w:val="20"/>
        </w:rPr>
        <w:t>,</w:t>
      </w:r>
      <w:r w:rsidR="003417ED" w:rsidRPr="003417ED">
        <w:rPr>
          <w:rFonts w:asciiTheme="minorHAnsi" w:hAnsiTheme="minorHAnsi"/>
          <w:b/>
          <w:bCs/>
          <w:sz w:val="20"/>
          <w:szCs w:val="20"/>
        </w:rPr>
        <w:t xml:space="preserve"> </w:t>
      </w:r>
      <w:hyperlink r:id="rId6" w:history="1">
        <w:r w:rsidR="003417ED" w:rsidRPr="003417ED">
          <w:rPr>
            <w:rStyle w:val="Hyperlink"/>
            <w:rFonts w:asciiTheme="minorHAnsi" w:hAnsiTheme="minorHAnsi"/>
            <w:b/>
            <w:bCs/>
            <w:sz w:val="20"/>
            <w:szCs w:val="20"/>
            <w:u w:val="none"/>
          </w:rPr>
          <w:t>https://docs.google.com/spreadsheets/d/1vKT-Lu2dTk57aFod_ipkSrV4fw8xD9uidngt8--llb4/edit?usp=sharing</w:t>
        </w:r>
      </w:hyperlink>
      <w:r w:rsidR="003417ED" w:rsidRPr="003417ED">
        <w:rPr>
          <w:rFonts w:asciiTheme="minorHAnsi" w:hAnsiTheme="minorHAnsi"/>
          <w:b/>
          <w:bCs/>
          <w:sz w:val="20"/>
          <w:szCs w:val="20"/>
        </w:rPr>
        <w:t>, Sheets # 6.</w:t>
      </w:r>
    </w:p>
    <w:p w14:paraId="3C7E6511" w14:textId="77777777" w:rsidR="009A59A7" w:rsidRDefault="009A59A7" w:rsidP="00FB3C74">
      <w:pPr>
        <w:pStyle w:val="ds-markdown-paragraph"/>
        <w:shd w:val="clear" w:color="auto" w:fill="FFFFFF"/>
        <w:spacing w:before="0" w:beforeAutospacing="0" w:after="0" w:afterAutospacing="0"/>
        <w:rPr>
          <w:rFonts w:asciiTheme="minorHAnsi" w:hAnsiTheme="minorHAnsi"/>
          <w:b/>
          <w:bCs/>
          <w:sz w:val="28"/>
          <w:szCs w:val="28"/>
          <w:u w:val="single"/>
        </w:rPr>
      </w:pPr>
    </w:p>
    <w:p w14:paraId="635B68D7" w14:textId="361F9425" w:rsidR="009A59A7" w:rsidRPr="009A59A7" w:rsidRDefault="009A59A7" w:rsidP="00FB3C74">
      <w:pPr>
        <w:pStyle w:val="ds-markdown-paragraph"/>
        <w:shd w:val="clear" w:color="auto" w:fill="FFFFFF"/>
        <w:spacing w:before="0" w:beforeAutospacing="0" w:after="0" w:afterAutospacing="0"/>
        <w:rPr>
          <w:rFonts w:asciiTheme="minorHAnsi" w:hAnsiTheme="minorHAnsi"/>
        </w:rPr>
      </w:pPr>
      <w:r w:rsidRPr="009A59A7">
        <w:rPr>
          <w:rFonts w:asciiTheme="minorHAnsi" w:hAnsiTheme="minorHAnsi"/>
        </w:rPr>
        <w:t>The company’s top 20 countries account for approximately 82% of total revenue and 79% of total profit, highlighting a strong concentration of business in a limited number of markets. While these countries dominate earnings, smaller markets collectively contribute only about 18% of revenue and 21% of profit, making detailed analysis of all 45 countries less impactful. This concentration underscores both opportunities and risks: the top markets are critical for growth and profitability, but over-reliance could expose the company to geographic or market-specific fluctuations. Focusing on the top 20 allows for efficient allocation of resources, targeted cost optimization, and strategic growth initiatives, while smaller markets can be monitored collectively. Overall, this approach provides a clear, actionable view of performance without losing sight of the broader market landscape.</w:t>
      </w:r>
    </w:p>
    <w:p w14:paraId="1CE15865" w14:textId="77777777" w:rsidR="00C61464" w:rsidRDefault="00C61464" w:rsidP="00FB3C74">
      <w:pPr>
        <w:pStyle w:val="ds-markdown-paragraph"/>
        <w:shd w:val="clear" w:color="auto" w:fill="FFFFFF"/>
        <w:spacing w:before="0" w:beforeAutospacing="0" w:after="0" w:afterAutospacing="0"/>
        <w:rPr>
          <w:rFonts w:asciiTheme="minorHAnsi" w:hAnsiTheme="minorHAnsi"/>
        </w:rPr>
      </w:pPr>
    </w:p>
    <w:p w14:paraId="40311AB0" w14:textId="2F4C8C78" w:rsidR="00C61464" w:rsidRDefault="009A59A7" w:rsidP="00FB3C74">
      <w:pPr>
        <w:pStyle w:val="ds-markdown-paragraph"/>
        <w:shd w:val="clear" w:color="auto" w:fill="FFFFFF"/>
        <w:spacing w:before="0" w:beforeAutospacing="0" w:after="0" w:afterAutospacing="0"/>
        <w:rPr>
          <w:rFonts w:asciiTheme="minorHAnsi" w:hAnsiTheme="minorHAnsi"/>
        </w:rPr>
      </w:pPr>
      <w:r w:rsidRPr="009A59A7">
        <w:rPr>
          <w:rFonts w:asciiTheme="minorHAnsi" w:hAnsiTheme="minorHAnsi"/>
        </w:rPr>
        <w:t xml:space="preserve">The company’s performance across the top 20 countries shows that revenue is heavily concentrated in a few key markets, with Monaco, Albania, and Ukraine leading the list. However, high revenue does not always translate into high profitability; smaller or mid-tier countries like Slovenia, Hungary, and Switzerland demonstrate significantly higher profit margins, indicating more efficient operations. Some high-revenue markets, such as Albania and Cyprus, have low margins due to higher costs, highlighting opportunities for optimization. </w:t>
      </w:r>
    </w:p>
    <w:p w14:paraId="20D55E7C" w14:textId="77777777" w:rsidR="009A59A7" w:rsidRDefault="009A59A7" w:rsidP="00FB3C74">
      <w:pPr>
        <w:pStyle w:val="ds-markdown-paragraph"/>
        <w:shd w:val="clear" w:color="auto" w:fill="FFFFFF"/>
        <w:spacing w:before="0" w:beforeAutospacing="0" w:after="0" w:afterAutospacing="0"/>
        <w:rPr>
          <w:rFonts w:asciiTheme="minorHAnsi" w:hAnsiTheme="minorHAnsi"/>
        </w:rPr>
      </w:pPr>
    </w:p>
    <w:p w14:paraId="0CDDFC8A" w14:textId="42493628" w:rsidR="009A59A7" w:rsidRDefault="00EA7FFB" w:rsidP="00FB3C74">
      <w:pPr>
        <w:pStyle w:val="ds-markdown-paragraph"/>
        <w:shd w:val="clear" w:color="auto" w:fill="FFFFFF"/>
        <w:spacing w:before="0" w:beforeAutospacing="0" w:after="0" w:afterAutospacing="0"/>
        <w:rPr>
          <w:rFonts w:asciiTheme="minorHAnsi" w:hAnsiTheme="minorHAnsi"/>
        </w:rPr>
      </w:pPr>
      <w:r w:rsidRPr="00EA7FFB">
        <w:rPr>
          <w:rFonts w:asciiTheme="minorHAnsi" w:hAnsiTheme="minorHAnsi"/>
        </w:rPr>
        <w:t xml:space="preserve">The company’s revenue is heavily concentrated in Europe, which accounts for approximately 91% of total revenue and generates a profit margin of around 32%. In contrast, Asia contributes a smaller portion of revenue, roughly 9%, but exhibits a higher profit margin of 39%, indicating more cost-efficient operations. </w:t>
      </w:r>
    </w:p>
    <w:p w14:paraId="1F378DDE" w14:textId="77777777" w:rsidR="00EA7FFB" w:rsidRDefault="00EA7FFB" w:rsidP="00FB3C74">
      <w:pPr>
        <w:pStyle w:val="ds-markdown-paragraph"/>
        <w:shd w:val="clear" w:color="auto" w:fill="FFFFFF"/>
        <w:spacing w:before="0" w:beforeAutospacing="0" w:after="0" w:afterAutospacing="0"/>
        <w:rPr>
          <w:rFonts w:asciiTheme="minorHAnsi" w:hAnsiTheme="minorHAnsi"/>
        </w:rPr>
      </w:pPr>
    </w:p>
    <w:p w14:paraId="0881B0D3" w14:textId="787AEB58" w:rsidR="00EA7FFB" w:rsidRDefault="00EA7FFB" w:rsidP="00FB3C74">
      <w:pPr>
        <w:pStyle w:val="ds-markdown-paragraph"/>
        <w:shd w:val="clear" w:color="auto" w:fill="FFFFFF"/>
        <w:spacing w:before="0" w:beforeAutospacing="0" w:after="0" w:afterAutospacing="0"/>
        <w:rPr>
          <w:rFonts w:asciiTheme="minorHAnsi" w:hAnsiTheme="minorHAnsi"/>
        </w:rPr>
      </w:pPr>
      <w:r w:rsidRPr="00EA7FFB">
        <w:rPr>
          <w:rFonts w:asciiTheme="minorHAnsi" w:hAnsiTheme="minorHAnsi"/>
        </w:rPr>
        <w:t xml:space="preserve">Northern Europe generates the highest revenue, approximately $23.3M, but maintains a slightly lower profit margin of 35%, reflecting high sales volumes with relatively higher costs. Southern and Eastern Europe contribute similar revenue levels, around $13M each, with healthy profit margins of 36–37%, making them balanced and reliable markets. Western Asia, while smaller in total revenue at $4.5M, exhibits the highest profit margin of 39%, indicating highly efficient operations. </w:t>
      </w:r>
    </w:p>
    <w:p w14:paraId="3F9D13F7" w14:textId="77777777" w:rsidR="003E259E" w:rsidRDefault="003E259E" w:rsidP="00FB3C74">
      <w:pPr>
        <w:pStyle w:val="ds-markdown-paragraph"/>
        <w:shd w:val="clear" w:color="auto" w:fill="FFFFFF"/>
        <w:spacing w:before="0" w:beforeAutospacing="0" w:after="0" w:afterAutospacing="0"/>
        <w:rPr>
          <w:rFonts w:asciiTheme="minorHAnsi" w:hAnsiTheme="minorHAnsi"/>
        </w:rPr>
      </w:pPr>
    </w:p>
    <w:p w14:paraId="03D51B71" w14:textId="02AB6DF6" w:rsidR="00EA7FFB" w:rsidRPr="006247DF" w:rsidRDefault="00EA7FFB" w:rsidP="00FB3C74">
      <w:pPr>
        <w:pStyle w:val="ds-markdown-paragraph"/>
        <w:shd w:val="clear" w:color="auto" w:fill="FFFFFF"/>
        <w:spacing w:before="0" w:beforeAutospacing="0" w:after="0" w:afterAutospacing="0"/>
        <w:rPr>
          <w:rFonts w:asciiTheme="minorHAnsi" w:hAnsiTheme="minorHAnsi"/>
          <w:b/>
          <w:bCs/>
          <w:sz w:val="28"/>
          <w:szCs w:val="28"/>
        </w:rPr>
      </w:pPr>
      <w:r>
        <w:rPr>
          <w:rFonts w:asciiTheme="minorHAnsi" w:hAnsiTheme="minorHAnsi"/>
          <w:b/>
          <w:bCs/>
          <w:sz w:val="28"/>
          <w:szCs w:val="28"/>
          <w:u w:val="single"/>
        </w:rPr>
        <w:t>Analysis of Sales by Sales Channel</w:t>
      </w:r>
      <w:r w:rsidR="006247DF">
        <w:rPr>
          <w:rFonts w:asciiTheme="minorHAnsi" w:hAnsiTheme="minorHAnsi"/>
          <w:b/>
          <w:bCs/>
          <w:sz w:val="28"/>
          <w:szCs w:val="28"/>
          <w:u w:val="single"/>
        </w:rPr>
        <w:t xml:space="preserve"> </w:t>
      </w:r>
      <w:r w:rsidR="006247DF" w:rsidRPr="006247DF">
        <w:rPr>
          <w:rFonts w:asciiTheme="minorHAnsi" w:hAnsiTheme="minorHAnsi"/>
          <w:b/>
          <w:bCs/>
          <w:sz w:val="28"/>
          <w:szCs w:val="28"/>
        </w:rPr>
        <w:t xml:space="preserve"> </w:t>
      </w:r>
      <w:r w:rsidR="006247DF" w:rsidRPr="006247DF">
        <w:rPr>
          <w:rFonts w:asciiTheme="minorHAnsi" w:hAnsiTheme="minorHAnsi"/>
          <w:b/>
          <w:bCs/>
          <w:sz w:val="20"/>
          <w:szCs w:val="20"/>
        </w:rPr>
        <w:t>(</w:t>
      </w:r>
      <w:r w:rsidR="006247DF" w:rsidRPr="006247DF">
        <w:rPr>
          <w:rFonts w:asciiTheme="minorHAnsi" w:hAnsiTheme="minorHAnsi"/>
          <w:sz w:val="20"/>
          <w:szCs w:val="20"/>
          <w:u w:val="single"/>
        </w:rPr>
        <w:t>see</w:t>
      </w:r>
      <w:r w:rsidR="006247DF" w:rsidRPr="006247DF">
        <w:rPr>
          <w:rFonts w:asciiTheme="minorHAnsi" w:hAnsiTheme="minorHAnsi"/>
          <w:b/>
          <w:bCs/>
          <w:sz w:val="28"/>
          <w:szCs w:val="28"/>
        </w:rPr>
        <w:t xml:space="preserve"> </w:t>
      </w:r>
      <w:hyperlink r:id="rId7" w:history="1">
        <w:r w:rsidR="006247DF" w:rsidRPr="006247DF">
          <w:rPr>
            <w:rStyle w:val="Hyperlink"/>
            <w:rFonts w:asciiTheme="minorHAnsi" w:hAnsiTheme="minorHAnsi"/>
            <w:b/>
            <w:bCs/>
            <w:sz w:val="20"/>
            <w:szCs w:val="20"/>
            <w:u w:val="none"/>
          </w:rPr>
          <w:t>https://docs.google.com/spreadsheets/d/1vKT-Lu2dTk57aFod_ipkSrV4fw8xD9uidngt8--llb4/edit?usp=sharing</w:t>
        </w:r>
      </w:hyperlink>
      <w:r w:rsidR="006247DF" w:rsidRPr="006247DF">
        <w:rPr>
          <w:rFonts w:asciiTheme="minorHAnsi" w:hAnsiTheme="minorHAnsi"/>
          <w:b/>
          <w:bCs/>
          <w:sz w:val="20"/>
          <w:szCs w:val="20"/>
        </w:rPr>
        <w:t>. 7. Sales by Channels</w:t>
      </w:r>
    </w:p>
    <w:p w14:paraId="559BF510" w14:textId="77777777" w:rsidR="00EA7FFB" w:rsidRPr="006247DF" w:rsidRDefault="00EA7FFB" w:rsidP="00FB3C74">
      <w:pPr>
        <w:pStyle w:val="ds-markdown-paragraph"/>
        <w:shd w:val="clear" w:color="auto" w:fill="FFFFFF"/>
        <w:spacing w:before="0" w:beforeAutospacing="0" w:after="0" w:afterAutospacing="0"/>
        <w:rPr>
          <w:rFonts w:asciiTheme="minorHAnsi" w:hAnsiTheme="minorHAnsi"/>
        </w:rPr>
      </w:pPr>
    </w:p>
    <w:p w14:paraId="225D3FD0" w14:textId="691BEEC7" w:rsidR="00EA7FFB" w:rsidRDefault="00EA7FFB" w:rsidP="00FB3C74">
      <w:pPr>
        <w:pStyle w:val="ds-markdown-paragraph"/>
        <w:shd w:val="clear" w:color="auto" w:fill="FFFFFF"/>
        <w:spacing w:before="0" w:beforeAutospacing="0" w:after="0" w:afterAutospacing="0"/>
        <w:rPr>
          <w:rFonts w:asciiTheme="minorHAnsi" w:hAnsiTheme="minorHAnsi"/>
        </w:rPr>
      </w:pPr>
      <w:r w:rsidRPr="00EA7FFB">
        <w:rPr>
          <w:rFonts w:asciiTheme="minorHAnsi" w:hAnsiTheme="minorHAnsi"/>
        </w:rPr>
        <w:t>The company’s Online channel has the highest revenue, approximately $18.5M, with a strong profit margin of 35%</w:t>
      </w:r>
      <w:r>
        <w:rPr>
          <w:rFonts w:asciiTheme="minorHAnsi" w:hAnsiTheme="minorHAnsi"/>
        </w:rPr>
        <w:t xml:space="preserve">. </w:t>
      </w:r>
      <w:r w:rsidRPr="00EA7FFB">
        <w:rPr>
          <w:rFonts w:asciiTheme="minorHAnsi" w:hAnsiTheme="minorHAnsi"/>
        </w:rPr>
        <w:t xml:space="preserve"> Retail stores contribute significant revenue, around $15M, but operate at a lower margin of 30%</w:t>
      </w:r>
      <w:r>
        <w:rPr>
          <w:rFonts w:asciiTheme="minorHAnsi" w:hAnsiTheme="minorHAnsi"/>
        </w:rPr>
        <w:t>, probably</w:t>
      </w:r>
      <w:r w:rsidRPr="00EA7FFB">
        <w:rPr>
          <w:rFonts w:asciiTheme="minorHAnsi" w:hAnsiTheme="minorHAnsi"/>
        </w:rPr>
        <w:t xml:space="preserve"> due to higher operational costs such as rent and staffing. Wholesale channels generate moderate revenue, roughly $10M, with similar </w:t>
      </w:r>
      <w:r w:rsidRPr="00EA7FFB">
        <w:rPr>
          <w:rFonts w:asciiTheme="minorHAnsi" w:hAnsiTheme="minorHAnsi"/>
        </w:rPr>
        <w:lastRenderedPageBreak/>
        <w:t xml:space="preserve">margins to retail, providing volume but less control over pricing. Direct/B2B sales, while smaller at about $5.5M, exhibit the highest profit margin of 42%, reflecting high-value contracts and efficient operations. </w:t>
      </w:r>
    </w:p>
    <w:p w14:paraId="0864D104" w14:textId="77777777" w:rsidR="00EA7FFB" w:rsidRDefault="00EA7FFB" w:rsidP="00FB3C74">
      <w:pPr>
        <w:pStyle w:val="ds-markdown-paragraph"/>
        <w:shd w:val="clear" w:color="auto" w:fill="FFFFFF"/>
        <w:spacing w:before="0" w:beforeAutospacing="0" w:after="0" w:afterAutospacing="0"/>
        <w:rPr>
          <w:rFonts w:asciiTheme="minorHAnsi" w:hAnsiTheme="minorHAnsi"/>
        </w:rPr>
      </w:pPr>
    </w:p>
    <w:p w14:paraId="5DE763F1" w14:textId="068A113E" w:rsidR="00EA7FFB" w:rsidRPr="006247DF" w:rsidRDefault="00EA7FFB" w:rsidP="00FB3C74">
      <w:pPr>
        <w:pStyle w:val="ds-markdown-paragraph"/>
        <w:shd w:val="clear" w:color="auto" w:fill="FFFFFF"/>
        <w:spacing w:before="0" w:beforeAutospacing="0" w:after="0" w:afterAutospacing="0"/>
        <w:rPr>
          <w:rFonts w:asciiTheme="minorHAnsi" w:hAnsiTheme="minorHAnsi"/>
          <w:b/>
          <w:bCs/>
          <w:sz w:val="28"/>
          <w:szCs w:val="28"/>
        </w:rPr>
      </w:pPr>
      <w:r>
        <w:rPr>
          <w:rFonts w:asciiTheme="minorHAnsi" w:hAnsiTheme="minorHAnsi"/>
          <w:b/>
          <w:bCs/>
          <w:sz w:val="28"/>
          <w:szCs w:val="28"/>
          <w:u w:val="single"/>
        </w:rPr>
        <w:t>Analysis of Time Interval between Order Placement and Shipment</w:t>
      </w:r>
      <w:r w:rsidR="008004CA" w:rsidRPr="006247DF">
        <w:rPr>
          <w:rFonts w:asciiTheme="minorHAnsi" w:hAnsiTheme="minorHAnsi"/>
          <w:b/>
          <w:bCs/>
          <w:sz w:val="20"/>
          <w:szCs w:val="20"/>
          <w:u w:val="single"/>
        </w:rPr>
        <w:t xml:space="preserve"> (See</w:t>
      </w:r>
      <w:r w:rsidR="006247DF" w:rsidRPr="006247DF">
        <w:rPr>
          <w:rFonts w:asciiTheme="minorHAnsi" w:hAnsiTheme="minorHAnsi"/>
          <w:b/>
          <w:bCs/>
          <w:sz w:val="20"/>
          <w:szCs w:val="20"/>
          <w:u w:val="single"/>
        </w:rPr>
        <w:t>,</w:t>
      </w:r>
      <w:r w:rsidR="006247DF" w:rsidRPr="006247DF">
        <w:rPr>
          <w:rFonts w:ascii="Segoe UI" w:eastAsiaTheme="minorHAnsi" w:hAnsi="Segoe UI" w:cs="Segoe UI"/>
          <w:color w:val="0F1115"/>
          <w:kern w:val="2"/>
          <w:sz w:val="20"/>
          <w:szCs w:val="20"/>
          <w:shd w:val="clear" w:color="auto" w:fill="FFFFFF"/>
          <w14:ligatures w14:val="standardContextual"/>
        </w:rPr>
        <w:t xml:space="preserve"> </w:t>
      </w:r>
      <w:hyperlink r:id="rId8" w:history="1">
        <w:r w:rsidR="006247DF" w:rsidRPr="008004CA">
          <w:rPr>
            <w:rStyle w:val="Hyperlink"/>
            <w:rFonts w:asciiTheme="minorHAnsi" w:hAnsiTheme="minorHAnsi"/>
            <w:b/>
            <w:bCs/>
            <w:sz w:val="20"/>
            <w:szCs w:val="20"/>
          </w:rPr>
          <w:t>https://docs.google.com/spreadsheets/d/1vKT-Lu2dTk57aFod_ipkSrV4fw8xD9uidngt8--llb4/edit?usp=sharing</w:t>
        </w:r>
      </w:hyperlink>
      <w:r w:rsidR="006247DF" w:rsidRPr="006247DF">
        <w:rPr>
          <w:rFonts w:asciiTheme="minorHAnsi" w:hAnsiTheme="minorHAnsi"/>
          <w:b/>
          <w:bCs/>
          <w:sz w:val="20"/>
          <w:szCs w:val="20"/>
        </w:rPr>
        <w:t>. All Sheets Number 8.</w:t>
      </w:r>
    </w:p>
    <w:p w14:paraId="0A954B68" w14:textId="673D9B86" w:rsidR="007F3EBB" w:rsidRDefault="007F3EBB" w:rsidP="00205E52">
      <w:pPr>
        <w:pStyle w:val="ds-markdown-paragraph"/>
        <w:spacing w:before="0"/>
        <w:rPr>
          <w:rFonts w:asciiTheme="minorHAnsi" w:hAnsiTheme="minorHAnsi"/>
        </w:rPr>
      </w:pPr>
      <w:r w:rsidRPr="007F3EBB">
        <w:rPr>
          <w:rFonts w:asciiTheme="minorHAnsi" w:hAnsiTheme="minorHAnsi"/>
        </w:rPr>
        <w:t>The presence of "Unknown" country data transforms what should be a straightforward operational metric</w:t>
      </w:r>
      <w:r>
        <w:rPr>
          <w:rFonts w:asciiTheme="minorHAnsi" w:hAnsiTheme="minorHAnsi"/>
        </w:rPr>
        <w:t xml:space="preserve"> of o</w:t>
      </w:r>
      <w:r w:rsidRPr="007F3EBB">
        <w:rPr>
          <w:rFonts w:asciiTheme="minorHAnsi" w:hAnsiTheme="minorHAnsi"/>
        </w:rPr>
        <w:t>rder-to-shipment time</w:t>
      </w:r>
      <w:r>
        <w:rPr>
          <w:rFonts w:asciiTheme="minorHAnsi" w:hAnsiTheme="minorHAnsi"/>
        </w:rPr>
        <w:t xml:space="preserve"> </w:t>
      </w:r>
      <w:r w:rsidRPr="007F3EBB">
        <w:rPr>
          <w:rFonts w:asciiTheme="minorHAnsi" w:hAnsiTheme="minorHAnsi"/>
        </w:rPr>
        <w:t>into a source of strategic uncertainty. Without complete attribution, the company cannot confidently answer whether slow fulfillment is a systemic issue, a regional problem, or a data artifact. Until the unknown records are properly classified, any analysis of order-to-shipment performance</w:t>
      </w:r>
      <w:r>
        <w:rPr>
          <w:rFonts w:asciiTheme="minorHAnsi" w:hAnsiTheme="minorHAnsi"/>
        </w:rPr>
        <w:t xml:space="preserve"> </w:t>
      </w:r>
      <w:r w:rsidRPr="007F3EBB">
        <w:rPr>
          <w:rFonts w:asciiTheme="minorHAnsi" w:hAnsiTheme="minorHAnsi"/>
        </w:rPr>
        <w:t>and its relationship to revenue</w:t>
      </w:r>
      <w:r>
        <w:rPr>
          <w:rFonts w:asciiTheme="minorHAnsi" w:hAnsiTheme="minorHAnsi"/>
        </w:rPr>
        <w:t xml:space="preserve"> </w:t>
      </w:r>
      <w:r w:rsidRPr="007F3EBB">
        <w:rPr>
          <w:rFonts w:asciiTheme="minorHAnsi" w:hAnsiTheme="minorHAnsi"/>
        </w:rPr>
        <w:t>must be treated as provisional and potentially misleading.</w:t>
      </w:r>
      <w:r>
        <w:rPr>
          <w:rFonts w:asciiTheme="minorHAnsi" w:hAnsiTheme="minorHAnsi"/>
        </w:rPr>
        <w:t xml:space="preserve"> </w:t>
      </w:r>
    </w:p>
    <w:p w14:paraId="4A417E82" w14:textId="3F7F1D56" w:rsidR="00205E52" w:rsidRDefault="00205E52" w:rsidP="00205E52">
      <w:pPr>
        <w:pStyle w:val="ds-markdown-paragraph"/>
        <w:spacing w:before="0"/>
        <w:rPr>
          <w:rFonts w:asciiTheme="minorHAnsi" w:hAnsiTheme="minorHAnsi"/>
        </w:rPr>
      </w:pPr>
      <w:r>
        <w:rPr>
          <w:rFonts w:asciiTheme="minorHAnsi" w:hAnsiTheme="minorHAnsi"/>
        </w:rPr>
        <w:t xml:space="preserve">There is a severe operational bottleneck in this company.  These turnaround times are in days, not hours.  </w:t>
      </w:r>
      <w:r w:rsidRPr="00205E52">
        <w:rPr>
          <w:rFonts w:asciiTheme="minorHAnsi" w:hAnsiTheme="minorHAnsi"/>
        </w:rPr>
        <w:t>Household goods have the fastest processing time at 20.72 </w:t>
      </w:r>
      <w:r>
        <w:rPr>
          <w:rFonts w:asciiTheme="minorHAnsi" w:hAnsiTheme="minorHAnsi"/>
        </w:rPr>
        <w:t>days</w:t>
      </w:r>
      <w:r w:rsidRPr="00205E52">
        <w:rPr>
          <w:rFonts w:asciiTheme="minorHAnsi" w:hAnsiTheme="minorHAnsi"/>
        </w:rPr>
        <w:t>, while Cereal is the slowest at 27.18 </w:t>
      </w:r>
      <w:r>
        <w:rPr>
          <w:rFonts w:asciiTheme="minorHAnsi" w:hAnsiTheme="minorHAnsi"/>
        </w:rPr>
        <w:t>days</w:t>
      </w:r>
      <w:r w:rsidRPr="00205E52">
        <w:rPr>
          <w:rFonts w:asciiTheme="minorHAnsi" w:hAnsiTheme="minorHAnsi"/>
        </w:rPr>
        <w:t>, creating a total spread of approximately 6.5 </w:t>
      </w:r>
      <w:r>
        <w:rPr>
          <w:rFonts w:asciiTheme="minorHAnsi" w:hAnsiTheme="minorHAnsi"/>
        </w:rPr>
        <w:t>days</w:t>
      </w:r>
      <w:r w:rsidRPr="00205E52">
        <w:rPr>
          <w:rFonts w:asciiTheme="minorHAnsi" w:hAnsiTheme="minorHAnsi"/>
        </w:rPr>
        <w:t xml:space="preserve"> between the extremes. The top three fastest categories are Household, Cosmetics (23.10), and Clothes (23.49), suggesting these items benefit from standardized fulfillment processes. In contrast, perishable categories such as Vegetables (26.10) and Fruits (26.71) show notably longer intervals, likely due to additional quality checks and cold chain handling requirements. Meat (25.54) and Baby Food (25.85) fall into a middle cluster alongside Personal Care (25.91), indicating moderate processing speeds. The slowest category overall is Cereal at 27.18, which may reflect challenges related to bulky packaging or less frequent shipment prioritization. Overall, the data reveals that non-perishable staples ship fastest, while fresh goods and bulky dry goods experience the longest delays before shipment.</w:t>
      </w:r>
      <w:r>
        <w:rPr>
          <w:rFonts w:asciiTheme="minorHAnsi" w:hAnsiTheme="minorHAnsi"/>
        </w:rPr>
        <w:t xml:space="preserve">  The turnaround times for this company are unacceptable.</w:t>
      </w:r>
    </w:p>
    <w:p w14:paraId="08FA6719" w14:textId="0FAEC811" w:rsidR="00205E52" w:rsidRDefault="00735D01" w:rsidP="00205E52">
      <w:pPr>
        <w:pStyle w:val="ds-markdown-paragraph"/>
        <w:spacing w:before="0"/>
        <w:rPr>
          <w:rFonts w:asciiTheme="minorHAnsi" w:hAnsiTheme="minorHAnsi"/>
        </w:rPr>
      </w:pPr>
      <w:r w:rsidRPr="00735D01">
        <w:rPr>
          <w:rFonts w:asciiTheme="minorHAnsi" w:hAnsiTheme="minorHAnsi"/>
        </w:rPr>
        <w:t xml:space="preserve">There is a clear geographic pattern with no strict regional consistency. </w:t>
      </w:r>
      <w:r>
        <w:rPr>
          <w:rFonts w:asciiTheme="minorHAnsi" w:hAnsiTheme="minorHAnsi"/>
        </w:rPr>
        <w:t>N</w:t>
      </w:r>
      <w:r w:rsidRPr="00735D01">
        <w:rPr>
          <w:rFonts w:asciiTheme="minorHAnsi" w:hAnsiTheme="minorHAnsi"/>
        </w:rPr>
        <w:t>ations like the United Kingdom and Denmark perform well, while others such as Belgium, France, and the Netherlands lag notably behind at 26–27 days. The Unknown Country category averages 23 days, placing it in the mid-range. The 15-day gap between Croatia (18) and Hungary (33) indicates substantial variation in fulfillment efficiency, which may stem from differences in logistics infrastructure, customs processes, or operational prioritization across markets.</w:t>
      </w:r>
    </w:p>
    <w:p w14:paraId="45F53771" w14:textId="46D49922" w:rsidR="00735D01" w:rsidRPr="003E259E" w:rsidRDefault="00735D01" w:rsidP="00205E52">
      <w:pPr>
        <w:pStyle w:val="ds-markdown-paragraph"/>
        <w:spacing w:before="0"/>
        <w:rPr>
          <w:rFonts w:asciiTheme="minorHAnsi" w:hAnsiTheme="minorHAnsi"/>
        </w:rPr>
      </w:pPr>
      <w:r w:rsidRPr="00735D01">
        <w:rPr>
          <w:rFonts w:asciiTheme="minorHAnsi" w:hAnsiTheme="minorHAnsi"/>
        </w:rPr>
        <w:t>The minimal variation (just 3 days) between regions suggests that operational factors may be more consistent across geographic areas than the detailed country-level data implied. The </w:t>
      </w:r>
      <w:r w:rsidRPr="00735D01">
        <w:rPr>
          <w:rFonts w:asciiTheme="minorHAnsi" w:hAnsiTheme="minorHAnsi"/>
          <w:b/>
          <w:bCs/>
        </w:rPr>
        <w:t>Unknown Country category</w:t>
      </w:r>
      <w:r w:rsidRPr="00735D01">
        <w:rPr>
          <w:rFonts w:asciiTheme="minorHAnsi" w:hAnsiTheme="minorHAnsi"/>
        </w:rPr>
        <w:t xml:space="preserve"> outperforming both defined regions raises questions about data completeness and whether those unclassified orders follow different, </w:t>
      </w:r>
      <w:r w:rsidRPr="003E259E">
        <w:rPr>
          <w:rFonts w:asciiTheme="minorHAnsi" w:hAnsiTheme="minorHAnsi"/>
        </w:rPr>
        <w:t>potentially faster fulfillment pathways.</w:t>
      </w:r>
    </w:p>
    <w:p w14:paraId="3575ACAC" w14:textId="423F9B6B" w:rsidR="00735D01" w:rsidRPr="003E259E" w:rsidRDefault="00735D01" w:rsidP="00735D01">
      <w:pPr>
        <w:pStyle w:val="ds-markdown-paragraph"/>
        <w:spacing w:before="0"/>
        <w:rPr>
          <w:rFonts w:asciiTheme="minorHAnsi" w:hAnsiTheme="minorHAnsi"/>
        </w:rPr>
      </w:pPr>
      <w:r w:rsidRPr="003E259E">
        <w:rPr>
          <w:rFonts w:asciiTheme="minorHAnsi" w:hAnsiTheme="minorHAnsi"/>
        </w:rPr>
        <w:t xml:space="preserve">Northern Europe is the fastest sub-region, with countries such as Denmark (20 days) and Estonia (21 days) driving a range of 20 to 28 days, though most countries fall between 20 </w:t>
      </w:r>
      <w:r w:rsidRPr="003E259E">
        <w:rPr>
          <w:rFonts w:asciiTheme="minorHAnsi" w:hAnsiTheme="minorHAnsi"/>
        </w:rPr>
        <w:lastRenderedPageBreak/>
        <w:t>and 24 days. Southern Europe shows the widest variability, with Croatia at 18 days, the fastest in the entire dataset, but also includes slower performers like Montenegro at 27 days, creating an average in the moderate range. Western Asia, represented primarily by Armenia at 26 days, falls in the middle tier with limited data points. Eastern Europe is the slowest sub-region overall, with Hungary recording the worst turnaround at 33 days, while countries like Poland, Russia, and Bulgaria average 27 days. In total, the gap between the fastest country (Croatia at 18 days) and the slowest (Hungary at 33 days) spans 15 days, indicating significant logistical disparities across the European continent.</w:t>
      </w:r>
    </w:p>
    <w:p w14:paraId="5B61327F" w14:textId="71A474BA" w:rsidR="00735D01" w:rsidRPr="003E259E" w:rsidRDefault="00474E6D" w:rsidP="00735D01">
      <w:pPr>
        <w:pStyle w:val="ds-markdown-paragraph"/>
        <w:spacing w:before="0"/>
        <w:rPr>
          <w:rFonts w:asciiTheme="minorHAnsi" w:hAnsiTheme="minorHAnsi"/>
        </w:rPr>
      </w:pPr>
      <w:r w:rsidRPr="003E259E">
        <w:rPr>
          <w:rFonts w:asciiTheme="minorHAnsi" w:hAnsiTheme="minorHAnsi"/>
        </w:rPr>
        <w:t>The data shows no clear linear relationship between order-to-ship speed and average revenue, indicating that faster shipment does not consistently equate to higher revenue. The highest average revenue occurs in the "Very fast" category at $1,441,620, while the "Extremely fast" category yields the lowest average revenue at $1,102,304 which is a difference of over $339,000 that contradicts the assumption that the fastest shipping generates the best financial results. The "Medium" category ranks second-highest at $1,415,068, nearly matching the "Very fast" tier, while the "Slow" category produces $1,357,380, still outperforming both "Fast" and "Extremely fast" shipments. This pattern suggests that factors beyond shipment speed—such as order size, product mix, customer segments, or regional differences—likely have a stronger influence on revenue than processing time. Ultimately, the fastest turnaround does not equate to the highest revenue, and slower shipments remain financially competitive within the dataset.</w:t>
      </w:r>
    </w:p>
    <w:p w14:paraId="0F91FAC4" w14:textId="4184531A" w:rsidR="00205E52" w:rsidRPr="008004CA" w:rsidRDefault="00474E6D" w:rsidP="00FB3C74">
      <w:pPr>
        <w:pStyle w:val="ds-markdown-paragraph"/>
        <w:shd w:val="clear" w:color="auto" w:fill="FFFFFF"/>
        <w:spacing w:before="0" w:beforeAutospacing="0" w:after="0" w:afterAutospacing="0"/>
        <w:rPr>
          <w:rFonts w:asciiTheme="minorHAnsi" w:hAnsiTheme="minorHAnsi"/>
          <w:b/>
          <w:bCs/>
          <w:sz w:val="20"/>
          <w:szCs w:val="20"/>
          <w:u w:val="single"/>
        </w:rPr>
      </w:pPr>
      <w:r>
        <w:rPr>
          <w:rFonts w:asciiTheme="minorHAnsi" w:hAnsiTheme="minorHAnsi"/>
          <w:b/>
          <w:bCs/>
          <w:sz w:val="28"/>
          <w:szCs w:val="28"/>
          <w:u w:val="single"/>
        </w:rPr>
        <w:t xml:space="preserve">Analysis of Sales Trends by Year and </w:t>
      </w:r>
      <w:r w:rsidRPr="008004CA">
        <w:rPr>
          <w:rFonts w:asciiTheme="minorHAnsi" w:hAnsiTheme="minorHAnsi"/>
          <w:b/>
          <w:bCs/>
          <w:sz w:val="28"/>
          <w:szCs w:val="28"/>
          <w:u w:val="single"/>
        </w:rPr>
        <w:t>Mon</w:t>
      </w:r>
      <w:r w:rsidR="008004CA">
        <w:rPr>
          <w:rFonts w:asciiTheme="minorHAnsi" w:hAnsiTheme="minorHAnsi"/>
          <w:b/>
          <w:bCs/>
          <w:sz w:val="28"/>
          <w:szCs w:val="28"/>
          <w:u w:val="single"/>
        </w:rPr>
        <w:t>t</w:t>
      </w:r>
      <w:r w:rsidR="007F3EBB">
        <w:rPr>
          <w:rFonts w:asciiTheme="minorHAnsi" w:hAnsiTheme="minorHAnsi"/>
          <w:b/>
          <w:bCs/>
          <w:sz w:val="28"/>
          <w:szCs w:val="28"/>
          <w:u w:val="single"/>
        </w:rPr>
        <w:t>h</w:t>
      </w:r>
      <w:r w:rsidR="008004CA" w:rsidRPr="008004CA">
        <w:rPr>
          <w:rFonts w:asciiTheme="minorHAnsi" w:hAnsiTheme="minorHAnsi"/>
          <w:b/>
          <w:bCs/>
          <w:sz w:val="28"/>
          <w:szCs w:val="28"/>
        </w:rPr>
        <w:t xml:space="preserve">  </w:t>
      </w:r>
      <w:r w:rsidR="008004CA" w:rsidRPr="008004CA">
        <w:rPr>
          <w:rFonts w:asciiTheme="minorHAnsi" w:hAnsiTheme="minorHAnsi"/>
          <w:sz w:val="20"/>
          <w:szCs w:val="20"/>
        </w:rPr>
        <w:t>(</w:t>
      </w:r>
      <w:r w:rsidR="008004CA" w:rsidRPr="008004CA">
        <w:rPr>
          <w:rFonts w:asciiTheme="minorHAnsi" w:hAnsiTheme="minorHAnsi"/>
          <w:sz w:val="20"/>
          <w:szCs w:val="20"/>
          <w:u w:val="single"/>
        </w:rPr>
        <w:t>see</w:t>
      </w:r>
      <w:r w:rsidR="008004CA" w:rsidRPr="008004CA">
        <w:rPr>
          <w:rFonts w:asciiTheme="minorHAnsi" w:hAnsiTheme="minorHAnsi"/>
          <w:b/>
          <w:bCs/>
          <w:sz w:val="20"/>
          <w:szCs w:val="20"/>
          <w:u w:val="single"/>
        </w:rPr>
        <w:t xml:space="preserve">, </w:t>
      </w:r>
      <w:hyperlink r:id="rId9" w:history="1">
        <w:r w:rsidR="008004CA" w:rsidRPr="008004CA">
          <w:rPr>
            <w:rStyle w:val="Hyperlink"/>
            <w:rFonts w:asciiTheme="minorHAnsi" w:hAnsiTheme="minorHAnsi"/>
            <w:b/>
            <w:bCs/>
            <w:sz w:val="20"/>
            <w:szCs w:val="20"/>
          </w:rPr>
          <w:t>https://docs.google.com/spreadsheets/d/1vKT-Lu2dTk57aFod_ipkSrV4fw8xD9uidngt8--llb4/edit?usp=sharing</w:t>
        </w:r>
      </w:hyperlink>
      <w:r w:rsidR="008004CA" w:rsidRPr="008004CA">
        <w:rPr>
          <w:rFonts w:asciiTheme="minorHAnsi" w:hAnsiTheme="minorHAnsi"/>
          <w:b/>
          <w:bCs/>
          <w:sz w:val="20"/>
          <w:szCs w:val="20"/>
          <w:u w:val="single"/>
        </w:rPr>
        <w:t xml:space="preserve">, all the </w:t>
      </w:r>
      <w:r w:rsidR="008004CA">
        <w:rPr>
          <w:rFonts w:asciiTheme="minorHAnsi" w:hAnsiTheme="minorHAnsi"/>
          <w:b/>
          <w:bCs/>
          <w:sz w:val="20"/>
          <w:szCs w:val="20"/>
          <w:u w:val="single"/>
        </w:rPr>
        <w:t xml:space="preserve">Sheets </w:t>
      </w:r>
      <w:r w:rsidR="008004CA" w:rsidRPr="008004CA">
        <w:rPr>
          <w:rFonts w:asciiTheme="minorHAnsi" w:hAnsiTheme="minorHAnsi"/>
          <w:b/>
          <w:bCs/>
          <w:sz w:val="20"/>
          <w:szCs w:val="20"/>
          <w:u w:val="single"/>
        </w:rPr>
        <w:t>number</w:t>
      </w:r>
      <w:r w:rsidR="008004CA">
        <w:rPr>
          <w:rFonts w:asciiTheme="minorHAnsi" w:hAnsiTheme="minorHAnsi"/>
          <w:b/>
          <w:bCs/>
          <w:sz w:val="20"/>
          <w:szCs w:val="20"/>
          <w:u w:val="single"/>
        </w:rPr>
        <w:t>ed</w:t>
      </w:r>
      <w:r w:rsidR="008004CA" w:rsidRPr="008004CA">
        <w:rPr>
          <w:rFonts w:asciiTheme="minorHAnsi" w:hAnsiTheme="minorHAnsi"/>
          <w:b/>
          <w:bCs/>
          <w:sz w:val="20"/>
          <w:szCs w:val="20"/>
          <w:u w:val="single"/>
        </w:rPr>
        <w:t xml:space="preserve"> 9</w:t>
      </w:r>
    </w:p>
    <w:p w14:paraId="1A038F0E" w14:textId="77777777" w:rsidR="00474E6D" w:rsidRPr="004A718F" w:rsidRDefault="00474E6D" w:rsidP="00FB3C74">
      <w:pPr>
        <w:pStyle w:val="ds-markdown-paragraph"/>
        <w:shd w:val="clear" w:color="auto" w:fill="FFFFFF"/>
        <w:spacing w:before="0" w:beforeAutospacing="0" w:after="0" w:afterAutospacing="0"/>
        <w:rPr>
          <w:rFonts w:asciiTheme="minorHAnsi" w:hAnsiTheme="minorHAnsi"/>
          <w:sz w:val="28"/>
          <w:szCs w:val="28"/>
          <w:u w:val="single"/>
        </w:rPr>
      </w:pPr>
    </w:p>
    <w:p w14:paraId="64C353F5" w14:textId="4457690D" w:rsidR="00474E6D" w:rsidRDefault="004A718F" w:rsidP="00FB3C74">
      <w:pPr>
        <w:pStyle w:val="ds-markdown-paragraph"/>
        <w:shd w:val="clear" w:color="auto" w:fill="FFFFFF"/>
        <w:spacing w:before="0" w:beforeAutospacing="0" w:after="0" w:afterAutospacing="0"/>
        <w:rPr>
          <w:rFonts w:asciiTheme="minorHAnsi" w:hAnsiTheme="minorHAnsi"/>
        </w:rPr>
      </w:pPr>
      <w:r w:rsidRPr="004A718F">
        <w:rPr>
          <w:rFonts w:asciiTheme="minorHAnsi" w:hAnsiTheme="minorHAnsi"/>
        </w:rPr>
        <w:t>A 4-year window focuses on recent market conditions and consumer behavior, ensuring the analysis reflects current business realities rather than outdated dynamics. The predictive value of sales data diminishes beyond four years, as older information contributes more noise than actionable insight for forecasting. Ultimately, a 4-year timeframe balances sufficient historical context for identifying meaningful patterns while maintaining relevance and actionability for strategic decision-making.</w:t>
      </w:r>
    </w:p>
    <w:p w14:paraId="489C3859" w14:textId="77777777" w:rsidR="004A718F" w:rsidRDefault="004A718F" w:rsidP="00FB3C74">
      <w:pPr>
        <w:pStyle w:val="ds-markdown-paragraph"/>
        <w:shd w:val="clear" w:color="auto" w:fill="FFFFFF"/>
        <w:spacing w:before="0" w:beforeAutospacing="0" w:after="0" w:afterAutospacing="0"/>
        <w:rPr>
          <w:rFonts w:asciiTheme="minorHAnsi" w:hAnsiTheme="minorHAnsi"/>
        </w:rPr>
      </w:pPr>
    </w:p>
    <w:p w14:paraId="785D5EA4" w14:textId="2EC23C37" w:rsidR="004A718F" w:rsidRDefault="004A718F" w:rsidP="00FB3C74">
      <w:pPr>
        <w:pStyle w:val="ds-markdown-paragraph"/>
        <w:shd w:val="clear" w:color="auto" w:fill="FFFFFF"/>
        <w:spacing w:before="0" w:beforeAutospacing="0" w:after="0" w:afterAutospacing="0"/>
        <w:rPr>
          <w:rFonts w:asciiTheme="minorHAnsi" w:hAnsiTheme="minorHAnsi"/>
        </w:rPr>
      </w:pPr>
      <w:r w:rsidRPr="00C13B48">
        <w:rPr>
          <w:rFonts w:asciiTheme="minorHAnsi" w:hAnsiTheme="minorHAnsi"/>
          <w:b/>
          <w:bCs/>
        </w:rPr>
        <w:t>Overall sales</w:t>
      </w:r>
      <w:r w:rsidRPr="004A718F">
        <w:rPr>
          <w:rFonts w:asciiTheme="minorHAnsi" w:hAnsiTheme="minorHAnsi"/>
        </w:rPr>
        <w:t xml:space="preserve"> from 2014 to 2017 show no consistent year-over-year growth trajectory, with individual months fluctuating between increases and declines rather than following a steady upward trend.</w:t>
      </w:r>
    </w:p>
    <w:p w14:paraId="560E9EB3" w14:textId="77777777" w:rsidR="00C13B48" w:rsidRDefault="00C13B48" w:rsidP="00C13B48">
      <w:pPr>
        <w:pStyle w:val="ds-markdown-paragraph"/>
        <w:rPr>
          <w:rFonts w:asciiTheme="minorHAnsi" w:hAnsiTheme="minorHAnsi"/>
        </w:rPr>
      </w:pPr>
      <w:r w:rsidRPr="00C13B48">
        <w:rPr>
          <w:rFonts w:asciiTheme="minorHAnsi" w:hAnsiTheme="minorHAnsi"/>
        </w:rPr>
        <w:t xml:space="preserve">From </w:t>
      </w:r>
      <w:r w:rsidRPr="00C13B48">
        <w:rPr>
          <w:rFonts w:asciiTheme="minorHAnsi" w:hAnsiTheme="minorHAnsi"/>
          <w:b/>
          <w:bCs/>
        </w:rPr>
        <w:t>2010 to 2017</w:t>
      </w:r>
      <w:r w:rsidRPr="00C13B48">
        <w:rPr>
          <w:rFonts w:asciiTheme="minorHAnsi" w:hAnsiTheme="minorHAnsi"/>
        </w:rPr>
        <w:t xml:space="preserve">, most </w:t>
      </w:r>
      <w:r w:rsidRPr="00C13B48">
        <w:rPr>
          <w:rFonts w:asciiTheme="minorHAnsi" w:hAnsiTheme="minorHAnsi"/>
          <w:b/>
          <w:bCs/>
        </w:rPr>
        <w:t>product categories</w:t>
      </w:r>
      <w:r w:rsidRPr="00C13B48">
        <w:rPr>
          <w:rFonts w:asciiTheme="minorHAnsi" w:hAnsiTheme="minorHAnsi"/>
        </w:rPr>
        <w:t xml:space="preserve"> experienced significant volatility, with a widespread sharp decline occurring in 2017. Beverages were the most stable category, while Cosmetics and Snacks showed strong rebounds that year. In contrast, categories such as Cereal, Clothes, and Household posted steep double-digit drops in 2017, with Cereal collapsing by 88%. Several categories, including Meat, Baby Food, and Personal Care, exhibited long-term downward trends over the full period. The synchronized downturn across diverse categories in 2017 suggests a company-wide event, such as a </w:t>
      </w:r>
      <w:r w:rsidRPr="00C13B48">
        <w:rPr>
          <w:rFonts w:asciiTheme="minorHAnsi" w:hAnsiTheme="minorHAnsi"/>
        </w:rPr>
        <w:lastRenderedPageBreak/>
        <w:t>restructuring or loss of a major client, rather than isolated product issues. Overall, only a few categories ended the period on a positive note, with most showing either decline or extreme inconsistency.</w:t>
      </w:r>
    </w:p>
    <w:p w14:paraId="6DC6E0D5" w14:textId="77777777" w:rsidR="00C13B48" w:rsidRPr="00C13B48" w:rsidRDefault="00C13B48" w:rsidP="00C13B48">
      <w:pPr>
        <w:pStyle w:val="ds-markdown-paragraph"/>
        <w:rPr>
          <w:rFonts w:asciiTheme="minorHAnsi" w:hAnsiTheme="minorHAnsi"/>
        </w:rPr>
      </w:pPr>
      <w:r w:rsidRPr="00C13B48">
        <w:rPr>
          <w:rFonts w:asciiTheme="minorHAnsi" w:hAnsiTheme="minorHAnsi"/>
        </w:rPr>
        <w:t xml:space="preserve">Based on the </w:t>
      </w:r>
      <w:r w:rsidRPr="00C13B48">
        <w:rPr>
          <w:rFonts w:asciiTheme="minorHAnsi" w:hAnsiTheme="minorHAnsi"/>
          <w:b/>
          <w:bCs/>
        </w:rPr>
        <w:t>monthly</w:t>
      </w:r>
      <w:r w:rsidRPr="00C13B48">
        <w:rPr>
          <w:rFonts w:asciiTheme="minorHAnsi" w:hAnsiTheme="minorHAnsi"/>
        </w:rPr>
        <w:t xml:space="preserve"> units sold data,</w:t>
      </w:r>
      <w:r w:rsidRPr="00C13B48">
        <w:rPr>
          <w:rFonts w:asciiTheme="minorHAnsi" w:hAnsiTheme="minorHAnsi"/>
          <w:b/>
          <w:bCs/>
        </w:rPr>
        <w:t xml:space="preserve"> product categories</w:t>
      </w:r>
      <w:r w:rsidRPr="00C13B48">
        <w:rPr>
          <w:rFonts w:asciiTheme="minorHAnsi" w:hAnsiTheme="minorHAnsi"/>
        </w:rPr>
        <w:t xml:space="preserve"> show distinct seasonal demand patterns rather than uniform trends. Beverages, Cosmetics, and Fruits peak in October, suggesting a pre-holiday or autumn surge, while Baby Food, Cereal, and Office Supplies demonstrate inconsistent monthly fluctuations without clear seasonal consistency. Notably, Clothes see a dramatic spike in April and June but plummet in December, indicating specific promotional or seasonal buying cycles, whereas categories like Personal Care and Meat show scattered high-volume months that may reflect inventory timing rather than stable consumer demand.</w:t>
      </w:r>
    </w:p>
    <w:p w14:paraId="2CE86262" w14:textId="5FEFA726" w:rsidR="00C13B48" w:rsidRDefault="00C13B48" w:rsidP="00C13B48">
      <w:pPr>
        <w:pStyle w:val="ds-markdown-paragraph"/>
        <w:rPr>
          <w:rFonts w:asciiTheme="minorHAnsi" w:hAnsiTheme="minorHAnsi"/>
        </w:rPr>
      </w:pPr>
      <w:r w:rsidRPr="00C13B48">
        <w:rPr>
          <w:rFonts w:asciiTheme="minorHAnsi" w:hAnsiTheme="minorHAnsi"/>
        </w:rPr>
        <w:t xml:space="preserve">Based on the </w:t>
      </w:r>
      <w:r w:rsidRPr="00C13B48">
        <w:rPr>
          <w:rFonts w:asciiTheme="minorHAnsi" w:hAnsiTheme="minorHAnsi"/>
          <w:b/>
          <w:bCs/>
        </w:rPr>
        <w:t>year-over-year</w:t>
      </w:r>
      <w:r w:rsidRPr="00C13B48">
        <w:rPr>
          <w:rFonts w:asciiTheme="minorHAnsi" w:hAnsiTheme="minorHAnsi"/>
        </w:rPr>
        <w:t xml:space="preserve"> data, most </w:t>
      </w:r>
      <w:r w:rsidRPr="00C13B48">
        <w:rPr>
          <w:rFonts w:asciiTheme="minorHAnsi" w:hAnsiTheme="minorHAnsi"/>
          <w:b/>
          <w:bCs/>
        </w:rPr>
        <w:t>countries</w:t>
      </w:r>
      <w:r w:rsidRPr="00C13B48">
        <w:rPr>
          <w:rFonts w:asciiTheme="minorHAnsi" w:hAnsiTheme="minorHAnsi"/>
        </w:rPr>
        <w:t xml:space="preserve"> exhibited extreme revenue volatility rather than consistent growth, with sharp peaks and troughs across the eight-year period. A handful of nations, including the United Kingdom, Russia, and the "</w:t>
      </w:r>
      <w:r w:rsidRPr="00C13B48">
        <w:rPr>
          <w:rFonts w:asciiTheme="minorHAnsi" w:hAnsiTheme="minorHAnsi"/>
          <w:b/>
          <w:bCs/>
        </w:rPr>
        <w:t>Unknown Country</w:t>
      </w:r>
      <w:r w:rsidRPr="00C13B48">
        <w:rPr>
          <w:rFonts w:asciiTheme="minorHAnsi" w:hAnsiTheme="minorHAnsi"/>
        </w:rPr>
        <w:t xml:space="preserve">" category, consistently ranked among the highest-grossing markets, though even they experienced significant annual fluctuations. The data reveals no uniform geographic trend, as neighboring countries often moved in opposite directions year </w:t>
      </w:r>
      <w:r w:rsidR="00126422" w:rsidRPr="00C13B48">
        <w:rPr>
          <w:rFonts w:asciiTheme="minorHAnsi" w:hAnsiTheme="minorHAnsi"/>
        </w:rPr>
        <w:t>by</w:t>
      </w:r>
      <w:r w:rsidRPr="00C13B48">
        <w:rPr>
          <w:rFonts w:asciiTheme="minorHAnsi" w:hAnsiTheme="minorHAnsi"/>
        </w:rPr>
        <w:t xml:space="preserve"> year</w:t>
      </w:r>
      <w:r w:rsidR="00BB6D71">
        <w:rPr>
          <w:rFonts w:asciiTheme="minorHAnsi" w:hAnsiTheme="minorHAnsi"/>
        </w:rPr>
        <w:t>.</w:t>
      </w:r>
    </w:p>
    <w:p w14:paraId="43E0C670" w14:textId="5030AF02" w:rsidR="00BB6D71" w:rsidRPr="00C13B48" w:rsidRDefault="00126422" w:rsidP="00C13B48">
      <w:pPr>
        <w:pStyle w:val="ds-markdown-paragraph"/>
        <w:rPr>
          <w:rFonts w:asciiTheme="minorHAnsi" w:hAnsiTheme="minorHAnsi"/>
        </w:rPr>
      </w:pPr>
      <w:r w:rsidRPr="00126422">
        <w:rPr>
          <w:rFonts w:asciiTheme="minorHAnsi" w:hAnsiTheme="minorHAnsi"/>
          <w:b/>
          <w:bCs/>
        </w:rPr>
        <w:t>Europe</w:t>
      </w:r>
      <w:r w:rsidRPr="00126422">
        <w:rPr>
          <w:rFonts w:asciiTheme="minorHAnsi" w:hAnsiTheme="minorHAnsi"/>
        </w:rPr>
        <w:t xml:space="preserve"> dominated total revenue across all</w:t>
      </w:r>
      <w:r w:rsidRPr="00126422">
        <w:rPr>
          <w:rFonts w:asciiTheme="minorHAnsi" w:hAnsiTheme="minorHAnsi"/>
          <w:b/>
          <w:bCs/>
        </w:rPr>
        <w:t xml:space="preserve"> years</w:t>
      </w:r>
      <w:r w:rsidRPr="00126422">
        <w:rPr>
          <w:rFonts w:asciiTheme="minorHAnsi" w:hAnsiTheme="minorHAnsi"/>
        </w:rPr>
        <w:t xml:space="preserve">, though it experienced a sharp decline from a peak of $245.8 million in 2012 to $119.8 million in 2017, representing a 51% drop over the period. </w:t>
      </w:r>
      <w:r w:rsidRPr="00126422">
        <w:rPr>
          <w:rFonts w:asciiTheme="minorHAnsi" w:hAnsiTheme="minorHAnsi"/>
          <w:b/>
          <w:bCs/>
        </w:rPr>
        <w:t>Asia</w:t>
      </w:r>
      <w:r w:rsidRPr="00126422">
        <w:rPr>
          <w:rFonts w:asciiTheme="minorHAnsi" w:hAnsiTheme="minorHAnsi"/>
        </w:rPr>
        <w:t xml:space="preserve"> showed significant volatility with a peak of $21.8 million in 2012 and a low of $4.3 million in 2011, ending the period moderately below its starting point. The "Unknown Country" category remained a notable but inconsistent contributor, ranging from $7.1 million to $19.3 million, with no clear directional trend.</w:t>
      </w:r>
    </w:p>
    <w:p w14:paraId="190F2BD2" w14:textId="404AD87E" w:rsidR="00C13B48" w:rsidRPr="008004CA" w:rsidRDefault="00126422" w:rsidP="00FB3C74">
      <w:pPr>
        <w:pStyle w:val="ds-markdown-paragraph"/>
        <w:shd w:val="clear" w:color="auto" w:fill="FFFFFF"/>
        <w:spacing w:before="0" w:beforeAutospacing="0" w:after="0" w:afterAutospacing="0"/>
        <w:rPr>
          <w:rFonts w:asciiTheme="minorHAnsi" w:hAnsiTheme="minorHAnsi"/>
          <w:sz w:val="20"/>
          <w:szCs w:val="20"/>
        </w:rPr>
      </w:pPr>
      <w:r>
        <w:rPr>
          <w:rFonts w:asciiTheme="minorHAnsi" w:hAnsiTheme="minorHAnsi"/>
          <w:b/>
          <w:bCs/>
          <w:sz w:val="28"/>
          <w:szCs w:val="28"/>
          <w:u w:val="single"/>
        </w:rPr>
        <w:t>Analysis of Sales by Days of the Week</w:t>
      </w:r>
      <w:r w:rsidR="00896067">
        <w:rPr>
          <w:rFonts w:asciiTheme="minorHAnsi" w:hAnsiTheme="minorHAnsi"/>
          <w:b/>
          <w:bCs/>
          <w:sz w:val="28"/>
          <w:szCs w:val="28"/>
          <w:u w:val="single"/>
        </w:rPr>
        <w:t xml:space="preserve"> </w:t>
      </w:r>
      <w:r w:rsidR="00896067" w:rsidRPr="008004CA">
        <w:rPr>
          <w:rFonts w:asciiTheme="minorHAnsi" w:hAnsiTheme="minorHAnsi"/>
          <w:sz w:val="20"/>
          <w:szCs w:val="20"/>
          <w:u w:val="single"/>
        </w:rPr>
        <w:t>(see</w:t>
      </w:r>
      <w:r w:rsidR="00896067" w:rsidRPr="008004CA">
        <w:rPr>
          <w:rFonts w:asciiTheme="minorHAnsi" w:hAnsiTheme="minorHAnsi"/>
          <w:sz w:val="20"/>
          <w:szCs w:val="20"/>
        </w:rPr>
        <w:t xml:space="preserve">, </w:t>
      </w:r>
      <w:hyperlink r:id="rId10" w:history="1">
        <w:r w:rsidR="008004CA" w:rsidRPr="008004CA">
          <w:rPr>
            <w:rStyle w:val="Hyperlink"/>
            <w:rFonts w:asciiTheme="minorHAnsi" w:hAnsiTheme="minorHAnsi"/>
            <w:sz w:val="20"/>
            <w:szCs w:val="20"/>
            <w:u w:val="none"/>
          </w:rPr>
          <w:t>https://docs.google.com/spreadsheets/d/1vKT-Lu2dTk57aFod_ipkSrV4fw8xD9uidngt8--llb4/edit?usp=sharing</w:t>
        </w:r>
      </w:hyperlink>
      <w:r w:rsidR="008004CA" w:rsidRPr="008004CA">
        <w:rPr>
          <w:rFonts w:asciiTheme="minorHAnsi" w:hAnsiTheme="minorHAnsi"/>
          <w:sz w:val="20"/>
          <w:szCs w:val="20"/>
        </w:rPr>
        <w:t>, Product Sales by Week</w:t>
      </w:r>
    </w:p>
    <w:p w14:paraId="12C17D7F" w14:textId="77777777" w:rsidR="00126422" w:rsidRDefault="00126422" w:rsidP="00FB3C74">
      <w:pPr>
        <w:pStyle w:val="ds-markdown-paragraph"/>
        <w:shd w:val="clear" w:color="auto" w:fill="FFFFFF"/>
        <w:spacing w:before="0" w:beforeAutospacing="0" w:after="0" w:afterAutospacing="0"/>
        <w:rPr>
          <w:rFonts w:asciiTheme="minorHAnsi" w:hAnsiTheme="minorHAnsi"/>
        </w:rPr>
      </w:pPr>
    </w:p>
    <w:p w14:paraId="62578949" w14:textId="75FE45E5" w:rsidR="00126422" w:rsidRDefault="00126422" w:rsidP="00FB3C74">
      <w:pPr>
        <w:pStyle w:val="ds-markdown-paragraph"/>
        <w:shd w:val="clear" w:color="auto" w:fill="FFFFFF"/>
        <w:spacing w:before="0" w:beforeAutospacing="0" w:after="0" w:afterAutospacing="0"/>
        <w:rPr>
          <w:rFonts w:asciiTheme="minorHAnsi" w:hAnsiTheme="minorHAnsi"/>
        </w:rPr>
      </w:pPr>
      <w:r w:rsidRPr="00126422">
        <w:rPr>
          <w:rFonts w:asciiTheme="minorHAnsi" w:hAnsiTheme="minorHAnsi"/>
        </w:rPr>
        <w:t>Based on the day-of-week analysis, sales volumes vary significantly by product category, revealing distinct weekly purchasing patterns. Office Supplies and Snacks show strong performance on Sundays, while Baby Food, Beverages, and Fruits also peak on that day, suggesting weekend shopping preferences for these categories. Conversely, Cosmetics and Personal Care see their highest units sold on Fridays, indicating possible pre-weekend beauty and self-care purchases. Household products experience a sharp spike on Wednesdays but drop considerably on Tuesdays, showing midweek demand concentration. Meat sales are highest on Mondays and lowest on Fridays, potentially reflecting weekly meal planning cycles. Overall, no single day dominates across all categories, with each product type exhibiting unique weekly rhythms that likely correlate with consumer behavior and shopping habits.</w:t>
      </w:r>
    </w:p>
    <w:p w14:paraId="4A7B9A4E" w14:textId="77777777" w:rsidR="00126422" w:rsidRDefault="00126422" w:rsidP="00FB3C74">
      <w:pPr>
        <w:pStyle w:val="ds-markdown-paragraph"/>
        <w:shd w:val="clear" w:color="auto" w:fill="FFFFFF"/>
        <w:spacing w:before="0" w:beforeAutospacing="0" w:after="0" w:afterAutospacing="0"/>
        <w:rPr>
          <w:rFonts w:asciiTheme="minorHAnsi" w:hAnsiTheme="minorHAnsi"/>
        </w:rPr>
      </w:pPr>
    </w:p>
    <w:p w14:paraId="34F30BCA"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5A1A38C2"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16A54DF1"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01EAA3C4"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12B7925A"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7DD91932"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39DCB250"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4E0716F6"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46C05C8E"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3B9714A8"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5D5ED202"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63B09DD3"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6454A648"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1991552A"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10B09228"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1C45E3AD" w14:textId="77777777" w:rsidR="007C5F89" w:rsidRDefault="007C5F89" w:rsidP="00FB3C74">
      <w:pPr>
        <w:pStyle w:val="ds-markdown-paragraph"/>
        <w:shd w:val="clear" w:color="auto" w:fill="FFFFFF"/>
        <w:spacing w:before="0" w:beforeAutospacing="0" w:after="0" w:afterAutospacing="0"/>
        <w:rPr>
          <w:rFonts w:asciiTheme="minorHAnsi" w:hAnsiTheme="minorHAnsi"/>
        </w:rPr>
      </w:pPr>
    </w:p>
    <w:p w14:paraId="3BF4FC77" w14:textId="60D62380" w:rsidR="00126422" w:rsidRPr="00896067" w:rsidRDefault="003E259E" w:rsidP="00FB3C74">
      <w:pPr>
        <w:pStyle w:val="ds-markdown-paragraph"/>
        <w:shd w:val="clear" w:color="auto" w:fill="FFFFFF"/>
        <w:spacing w:before="0" w:beforeAutospacing="0" w:after="0" w:afterAutospacing="0"/>
        <w:rPr>
          <w:rFonts w:asciiTheme="minorHAnsi" w:hAnsiTheme="minorHAnsi"/>
          <w:sz w:val="20"/>
          <w:szCs w:val="20"/>
        </w:rPr>
      </w:pPr>
      <w:r>
        <w:rPr>
          <w:rFonts w:asciiTheme="minorHAnsi" w:hAnsiTheme="minorHAnsi"/>
          <w:b/>
          <w:bCs/>
          <w:sz w:val="28"/>
          <w:szCs w:val="28"/>
          <w:u w:val="single"/>
        </w:rPr>
        <w:t>An ABC Analysis Using the Pareto Principle</w:t>
      </w:r>
      <w:r w:rsidR="00896067">
        <w:rPr>
          <w:rFonts w:asciiTheme="minorHAnsi" w:hAnsiTheme="minorHAnsi"/>
          <w:sz w:val="28"/>
          <w:szCs w:val="28"/>
        </w:rPr>
        <w:t xml:space="preserve"> </w:t>
      </w:r>
      <w:r w:rsidR="00896067" w:rsidRPr="00896067">
        <w:rPr>
          <w:rFonts w:asciiTheme="minorHAnsi" w:hAnsiTheme="minorHAnsi"/>
          <w:sz w:val="20"/>
          <w:szCs w:val="20"/>
        </w:rPr>
        <w:t>(</w:t>
      </w:r>
      <w:r w:rsidR="00896067" w:rsidRPr="00896067">
        <w:rPr>
          <w:rFonts w:asciiTheme="minorHAnsi" w:hAnsiTheme="minorHAnsi"/>
          <w:sz w:val="20"/>
          <w:szCs w:val="20"/>
          <w:u w:val="single"/>
        </w:rPr>
        <w:t>see</w:t>
      </w:r>
      <w:r w:rsidR="00896067" w:rsidRPr="00896067">
        <w:rPr>
          <w:rFonts w:asciiTheme="minorHAnsi" w:hAnsiTheme="minorHAnsi"/>
          <w:sz w:val="20"/>
          <w:szCs w:val="20"/>
        </w:rPr>
        <w:t xml:space="preserve">, </w:t>
      </w:r>
      <w:hyperlink r:id="rId11" w:history="1">
        <w:r w:rsidR="00896067" w:rsidRPr="00896067">
          <w:rPr>
            <w:rStyle w:val="Hyperlink"/>
            <w:rFonts w:asciiTheme="minorHAnsi" w:hAnsiTheme="minorHAnsi"/>
            <w:sz w:val="20"/>
            <w:szCs w:val="20"/>
          </w:rPr>
          <w:t>https://docs.google.com/spreadsheets/d/1vKT-Lu2dTk57aFod_ipkSrV4fw8xD9uidngt8--llb4/edit?usp=sharing</w:t>
        </w:r>
      </w:hyperlink>
      <w:r w:rsidR="00896067" w:rsidRPr="00896067">
        <w:rPr>
          <w:rFonts w:asciiTheme="minorHAnsi" w:hAnsiTheme="minorHAnsi"/>
          <w:sz w:val="20"/>
          <w:szCs w:val="20"/>
        </w:rPr>
        <w:t>, Sheet “ABC Analysis A”</w:t>
      </w:r>
    </w:p>
    <w:p w14:paraId="41130BEF" w14:textId="12984174" w:rsidR="00DC4A0E" w:rsidRPr="00DC4A0E" w:rsidRDefault="00DC4A0E" w:rsidP="00DC4A0E">
      <w:pPr>
        <w:pStyle w:val="ds-markdown-paragraph"/>
        <w:spacing w:before="0" w:after="0"/>
        <w:rPr>
          <w:rFonts w:asciiTheme="minorHAnsi" w:hAnsiTheme="minorHAnsi"/>
        </w:rPr>
      </w:pPr>
      <w:r w:rsidRPr="00DC4A0E">
        <w:rPr>
          <w:rFonts w:asciiTheme="minorHAnsi" w:hAnsiTheme="minorHAnsi"/>
        </w:rPr>
        <w:t xml:space="preserve">Using a three-dimensional analysis of units sold, revenue, and profit </w:t>
      </w:r>
      <w:r>
        <w:rPr>
          <w:rFonts w:asciiTheme="minorHAnsi" w:hAnsiTheme="minorHAnsi"/>
        </w:rPr>
        <w:t>t</w:t>
      </w:r>
      <w:r w:rsidRPr="00DC4A0E">
        <w:rPr>
          <w:rFonts w:asciiTheme="minorHAnsi" w:hAnsiTheme="minorHAnsi"/>
        </w:rPr>
        <w:t xml:space="preserve">he Pareto principle is clearly demonstrated across all three dimensions of </w:t>
      </w:r>
      <w:r>
        <w:rPr>
          <w:rFonts w:asciiTheme="minorHAnsi" w:hAnsiTheme="minorHAnsi"/>
        </w:rPr>
        <w:t xml:space="preserve">the </w:t>
      </w:r>
      <w:r w:rsidRPr="00DC4A0E">
        <w:rPr>
          <w:rFonts w:asciiTheme="minorHAnsi" w:hAnsiTheme="minorHAnsi"/>
        </w:rPr>
        <w:t>business</w:t>
      </w:r>
      <w:r>
        <w:rPr>
          <w:rFonts w:asciiTheme="minorHAnsi" w:hAnsiTheme="minorHAnsi"/>
        </w:rPr>
        <w:t>.</w:t>
      </w:r>
    </w:p>
    <w:p w14:paraId="12BDAC10" w14:textId="023F164F" w:rsidR="00DC4A0E" w:rsidRPr="00DC4A0E" w:rsidRDefault="00DC4A0E" w:rsidP="00DC4A0E">
      <w:pPr>
        <w:pStyle w:val="ds-markdown-paragraph"/>
        <w:rPr>
          <w:rFonts w:asciiTheme="minorHAnsi" w:hAnsiTheme="minorHAnsi"/>
        </w:rPr>
      </w:pPr>
      <w:r w:rsidRPr="00DC4A0E">
        <w:rPr>
          <w:rFonts w:asciiTheme="minorHAnsi" w:hAnsiTheme="minorHAnsi"/>
        </w:rPr>
        <w:t xml:space="preserve">Approximately one-third to two-fifths </w:t>
      </w:r>
      <w:r>
        <w:rPr>
          <w:rFonts w:asciiTheme="minorHAnsi" w:hAnsiTheme="minorHAnsi"/>
        </w:rPr>
        <w:t>of the company’s</w:t>
      </w:r>
      <w:r w:rsidRPr="00DC4A0E">
        <w:rPr>
          <w:rFonts w:asciiTheme="minorHAnsi" w:hAnsiTheme="minorHAnsi"/>
        </w:rPr>
        <w:t xml:space="preserve"> products drive roughly three-quarters of </w:t>
      </w:r>
      <w:r>
        <w:rPr>
          <w:rFonts w:asciiTheme="minorHAnsi" w:hAnsiTheme="minorHAnsi"/>
        </w:rPr>
        <w:t xml:space="preserve">its </w:t>
      </w:r>
      <w:r w:rsidRPr="00DC4A0E">
        <w:rPr>
          <w:rFonts w:asciiTheme="minorHAnsi" w:hAnsiTheme="minorHAnsi"/>
        </w:rPr>
        <w:t>results.</w:t>
      </w:r>
    </w:p>
    <w:p w14:paraId="117EAC4B" w14:textId="77777777" w:rsidR="00DC4A0E" w:rsidRPr="00DC4A0E" w:rsidRDefault="00DC4A0E" w:rsidP="00DC4A0E">
      <w:pPr>
        <w:pStyle w:val="ds-markdown-paragraph"/>
        <w:spacing w:before="0" w:after="0"/>
        <w:rPr>
          <w:rFonts w:asciiTheme="minorHAnsi" w:hAnsiTheme="minorHAnsi"/>
        </w:rPr>
      </w:pPr>
      <w:r w:rsidRPr="00DC4A0E">
        <w:rPr>
          <w:rFonts w:asciiTheme="minorHAnsi" w:hAnsiTheme="minorHAnsi"/>
        </w:rPr>
        <w:t>However, the most valuable insight from this three-dimensional analysis is that products perform differently across units, revenue, and profit. A product that drives high volume (Snacks) may not drive high profit, while a product with low volume (Baby Food) may be a profit leader.</w:t>
      </w:r>
    </w:p>
    <w:p w14:paraId="43A481DA" w14:textId="596C0DE9" w:rsidR="00DC4A0E" w:rsidRPr="00DC4A0E" w:rsidRDefault="00DC4A0E" w:rsidP="00DC4A0E">
      <w:pPr>
        <w:pStyle w:val="ds-markdown-paragraph"/>
        <w:spacing w:before="0" w:after="0"/>
        <w:rPr>
          <w:rFonts w:asciiTheme="minorHAnsi" w:hAnsiTheme="minorHAnsi"/>
        </w:rPr>
      </w:pPr>
      <w:r w:rsidRPr="00DC4A0E">
        <w:rPr>
          <w:rFonts w:asciiTheme="minorHAnsi" w:hAnsiTheme="minorHAnsi"/>
        </w:rPr>
        <w:t>Cosmetics </w:t>
      </w:r>
      <w:r w:rsidRPr="00DC4A0E">
        <w:rPr>
          <w:rFonts w:asciiTheme="minorHAnsi" w:hAnsiTheme="minorHAnsi"/>
        </w:rPr>
        <w:t>emerge</w:t>
      </w:r>
      <w:r w:rsidRPr="00DC4A0E">
        <w:rPr>
          <w:rFonts w:asciiTheme="minorHAnsi" w:hAnsiTheme="minorHAnsi"/>
        </w:rPr>
        <w:t xml:space="preserve"> as </w:t>
      </w:r>
      <w:r>
        <w:rPr>
          <w:rFonts w:asciiTheme="minorHAnsi" w:hAnsiTheme="minorHAnsi"/>
        </w:rPr>
        <w:t>the company’s</w:t>
      </w:r>
      <w:r w:rsidRPr="00DC4A0E">
        <w:rPr>
          <w:rFonts w:asciiTheme="minorHAnsi" w:hAnsiTheme="minorHAnsi"/>
        </w:rPr>
        <w:t xml:space="preserve"> most critical product, being the only A-class performer across all three metrics. Personal Care is your weakest performer and should be evaluated for potential elimination or repositioning.</w:t>
      </w:r>
    </w:p>
    <w:p w14:paraId="636DCC15" w14:textId="77777777" w:rsidR="009F01D5" w:rsidRDefault="009F01D5" w:rsidP="009F01D5">
      <w:pPr>
        <w:pStyle w:val="ds-markdown-paragraph"/>
        <w:spacing w:before="0" w:after="0"/>
        <w:rPr>
          <w:rFonts w:asciiTheme="minorHAnsi" w:hAnsiTheme="minorHAnsi"/>
          <w:b/>
          <w:bCs/>
          <w:sz w:val="28"/>
          <w:szCs w:val="28"/>
          <w:u w:val="single"/>
        </w:rPr>
      </w:pPr>
      <w:r w:rsidRPr="009F01D5">
        <w:rPr>
          <w:rFonts w:asciiTheme="minorHAnsi" w:hAnsiTheme="minorHAnsi"/>
          <w:b/>
          <w:bCs/>
          <w:sz w:val="28"/>
          <w:szCs w:val="28"/>
          <w:u w:val="single"/>
        </w:rPr>
        <w:t>Final Assessment</w:t>
      </w:r>
    </w:p>
    <w:p w14:paraId="09094DC3" w14:textId="755F1951" w:rsidR="000C40E0" w:rsidRPr="009F01D5" w:rsidRDefault="000C40E0" w:rsidP="000C40E0">
      <w:pPr>
        <w:pStyle w:val="ds-markdown-paragraph"/>
        <w:spacing w:before="0" w:after="0"/>
        <w:rPr>
          <w:rFonts w:asciiTheme="minorHAnsi" w:hAnsiTheme="minorHAnsi"/>
        </w:rPr>
      </w:pPr>
      <w:r>
        <w:rPr>
          <w:rFonts w:asciiTheme="minorHAnsi" w:hAnsiTheme="minorHAnsi"/>
        </w:rPr>
        <w:t xml:space="preserve">Of significant note is the </w:t>
      </w:r>
      <w:r w:rsidRPr="000C40E0">
        <w:rPr>
          <w:rFonts w:asciiTheme="minorHAnsi" w:hAnsiTheme="minorHAnsi"/>
        </w:rPr>
        <w:t>reality that 5–7% of all transactional data cannot be attributed to a specific country. This data gap obscures the full picture of geographic performance, potentially masking emerging opportunities in underserved markets or hiding inefficiencies in key regions. The fact that "Unknown Country" orders consistently perform well across multiple metrics suggests that valuable insights are being lost due to incomplete data capture.</w:t>
      </w:r>
      <w:r>
        <w:rPr>
          <w:rFonts w:asciiTheme="minorHAnsi" w:hAnsiTheme="minorHAnsi"/>
        </w:rPr>
        <w:t xml:space="preserve"> </w:t>
      </w:r>
      <w:r>
        <w:rPr>
          <w:rFonts w:asciiTheme="minorHAnsi" w:hAnsiTheme="minorHAnsi"/>
        </w:rPr>
        <w:t xml:space="preserve">However, what can </w:t>
      </w:r>
      <w:r w:rsidR="00F94AE8">
        <w:rPr>
          <w:rFonts w:asciiTheme="minorHAnsi" w:hAnsiTheme="minorHAnsi"/>
        </w:rPr>
        <w:t>be observed</w:t>
      </w:r>
      <w:r>
        <w:rPr>
          <w:rFonts w:asciiTheme="minorHAnsi" w:hAnsiTheme="minorHAnsi"/>
        </w:rPr>
        <w:t xml:space="preserve"> from the remaining, </w:t>
      </w:r>
      <w:r w:rsidR="00F94AE8">
        <w:rPr>
          <w:rFonts w:asciiTheme="minorHAnsi" w:hAnsiTheme="minorHAnsi"/>
        </w:rPr>
        <w:t>complete</w:t>
      </w:r>
      <w:r>
        <w:rPr>
          <w:rFonts w:asciiTheme="minorHAnsi" w:hAnsiTheme="minorHAnsi"/>
        </w:rPr>
        <w:t xml:space="preserve"> data is </w:t>
      </w:r>
      <w:r w:rsidR="00F94AE8">
        <w:rPr>
          <w:rFonts w:asciiTheme="minorHAnsi" w:hAnsiTheme="minorHAnsi"/>
        </w:rPr>
        <w:t>analyzed.</w:t>
      </w:r>
    </w:p>
    <w:p w14:paraId="063B1B9F" w14:textId="3BF1AF33" w:rsidR="009F01D5" w:rsidRDefault="009F01D5" w:rsidP="009F01D5">
      <w:pPr>
        <w:pStyle w:val="ds-markdown-paragraph"/>
        <w:spacing w:before="0" w:after="0"/>
        <w:rPr>
          <w:rFonts w:asciiTheme="minorHAnsi" w:hAnsiTheme="minorHAnsi"/>
        </w:rPr>
      </w:pPr>
      <w:r w:rsidRPr="009F01D5">
        <w:rPr>
          <w:rFonts w:asciiTheme="minorHAnsi" w:hAnsiTheme="minorHAnsi"/>
        </w:rPr>
        <w:lastRenderedPageBreak/>
        <w:t xml:space="preserve">The company operates with a high-risk, high-concentration business model. While strong profitability exists overall (approximately 30% margins), the over-reliance on Office Supplies and European markets creates vulnerability to single-point failures. </w:t>
      </w:r>
    </w:p>
    <w:p w14:paraId="249F5C02" w14:textId="000BF05B" w:rsidR="009F01D5" w:rsidRPr="009F01D5" w:rsidRDefault="009F01D5" w:rsidP="009F01D5">
      <w:pPr>
        <w:pStyle w:val="ds-markdown-paragraph"/>
        <w:spacing w:before="0" w:after="0"/>
        <w:rPr>
          <w:rFonts w:asciiTheme="minorHAnsi" w:hAnsiTheme="minorHAnsi"/>
        </w:rPr>
      </w:pPr>
      <w:r w:rsidRPr="009F01D5">
        <w:rPr>
          <w:rFonts w:asciiTheme="minorHAnsi" w:hAnsiTheme="minorHAnsi"/>
        </w:rPr>
        <w:t xml:space="preserve">However, the presence of high-margin products (Clothes, Baby Food, Cereal) and the outstanding performance of Cosmetics demonstrate that the company possesses valuable assets capable of supporting a more balanced and resilient business model. </w:t>
      </w:r>
    </w:p>
    <w:p w14:paraId="109989E1" w14:textId="77777777" w:rsidR="009F01D5" w:rsidRPr="009F01D5" w:rsidRDefault="009F01D5" w:rsidP="009F01D5">
      <w:pPr>
        <w:pStyle w:val="ds-markdown-paragraph"/>
        <w:spacing w:before="0" w:after="0"/>
        <w:rPr>
          <w:rFonts w:asciiTheme="minorHAnsi" w:hAnsiTheme="minorHAnsi"/>
        </w:rPr>
      </w:pPr>
      <w:r w:rsidRPr="009F01D5">
        <w:rPr>
          <w:rFonts w:asciiTheme="minorHAnsi" w:hAnsiTheme="minorHAnsi"/>
        </w:rPr>
        <w:t>The Pareto principle applied throughout this analysis provides a clear roadmap: focus resources on the few products, markets, and channels that drive the majority of results, while systematically addressing operational weaknesses that undermine overall performance.</w:t>
      </w:r>
    </w:p>
    <w:p w14:paraId="18498518" w14:textId="19166269" w:rsidR="007C5F89" w:rsidRDefault="007C5F89" w:rsidP="00FB3C74">
      <w:pPr>
        <w:pStyle w:val="ds-markdown-paragraph"/>
        <w:shd w:val="clear" w:color="auto" w:fill="FFFFFF"/>
        <w:spacing w:before="0" w:beforeAutospacing="0" w:after="0" w:afterAutospacing="0"/>
        <w:rPr>
          <w:rFonts w:asciiTheme="minorHAnsi" w:hAnsiTheme="minorHAnsi"/>
        </w:rPr>
      </w:pPr>
    </w:p>
    <w:p w14:paraId="722936B1" w14:textId="77777777" w:rsidR="007C5F89" w:rsidRPr="003E259E" w:rsidRDefault="007C5F89" w:rsidP="00FB3C74">
      <w:pPr>
        <w:pStyle w:val="ds-markdown-paragraph"/>
        <w:shd w:val="clear" w:color="auto" w:fill="FFFFFF"/>
        <w:spacing w:before="0" w:beforeAutospacing="0" w:after="0" w:afterAutospacing="0"/>
        <w:rPr>
          <w:rFonts w:asciiTheme="minorHAnsi" w:hAnsiTheme="minorHAnsi"/>
        </w:rPr>
      </w:pPr>
    </w:p>
    <w:sectPr w:rsidR="007C5F89" w:rsidRPr="003E2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078"/>
    <w:multiLevelType w:val="multilevel"/>
    <w:tmpl w:val="B448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36600"/>
    <w:multiLevelType w:val="multilevel"/>
    <w:tmpl w:val="BC0C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4522E"/>
    <w:multiLevelType w:val="multilevel"/>
    <w:tmpl w:val="1062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13D5E"/>
    <w:multiLevelType w:val="multilevel"/>
    <w:tmpl w:val="F4227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406CA9"/>
    <w:multiLevelType w:val="multilevel"/>
    <w:tmpl w:val="98B0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C573F"/>
    <w:multiLevelType w:val="multilevel"/>
    <w:tmpl w:val="BE66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83CA6"/>
    <w:multiLevelType w:val="multilevel"/>
    <w:tmpl w:val="EC9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713E5"/>
    <w:multiLevelType w:val="multilevel"/>
    <w:tmpl w:val="C146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83DD1"/>
    <w:multiLevelType w:val="multilevel"/>
    <w:tmpl w:val="5AD6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961E7"/>
    <w:multiLevelType w:val="multilevel"/>
    <w:tmpl w:val="3AA0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5D2E6F"/>
    <w:multiLevelType w:val="multilevel"/>
    <w:tmpl w:val="4A98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171392">
    <w:abstractNumId w:val="2"/>
  </w:num>
  <w:num w:numId="2" w16cid:durableId="942954299">
    <w:abstractNumId w:val="5"/>
  </w:num>
  <w:num w:numId="3" w16cid:durableId="1851024753">
    <w:abstractNumId w:val="3"/>
  </w:num>
  <w:num w:numId="4" w16cid:durableId="687563736">
    <w:abstractNumId w:val="1"/>
  </w:num>
  <w:num w:numId="5" w16cid:durableId="1160123467">
    <w:abstractNumId w:val="9"/>
  </w:num>
  <w:num w:numId="6" w16cid:durableId="414715702">
    <w:abstractNumId w:val="0"/>
  </w:num>
  <w:num w:numId="7" w16cid:durableId="89357001">
    <w:abstractNumId w:val="4"/>
  </w:num>
  <w:num w:numId="8" w16cid:durableId="1176454184">
    <w:abstractNumId w:val="7"/>
  </w:num>
  <w:num w:numId="9" w16cid:durableId="285358752">
    <w:abstractNumId w:val="10"/>
  </w:num>
  <w:num w:numId="10" w16cid:durableId="1745950500">
    <w:abstractNumId w:val="6"/>
  </w:num>
  <w:num w:numId="11" w16cid:durableId="5224056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F97"/>
    <w:rsid w:val="000C40E0"/>
    <w:rsid w:val="000E32A5"/>
    <w:rsid w:val="00126422"/>
    <w:rsid w:val="00205E52"/>
    <w:rsid w:val="0025124A"/>
    <w:rsid w:val="002D2BF3"/>
    <w:rsid w:val="0030642B"/>
    <w:rsid w:val="003417ED"/>
    <w:rsid w:val="003E259E"/>
    <w:rsid w:val="00410ADA"/>
    <w:rsid w:val="00447A15"/>
    <w:rsid w:val="00474E6D"/>
    <w:rsid w:val="004A3890"/>
    <w:rsid w:val="004A718F"/>
    <w:rsid w:val="004D2D1F"/>
    <w:rsid w:val="006247DF"/>
    <w:rsid w:val="006A7CA6"/>
    <w:rsid w:val="00735D01"/>
    <w:rsid w:val="00737047"/>
    <w:rsid w:val="00792C00"/>
    <w:rsid w:val="007A5DE3"/>
    <w:rsid w:val="007C5F89"/>
    <w:rsid w:val="007F3EBB"/>
    <w:rsid w:val="008004CA"/>
    <w:rsid w:val="00896067"/>
    <w:rsid w:val="008A05C9"/>
    <w:rsid w:val="00967935"/>
    <w:rsid w:val="00981C9D"/>
    <w:rsid w:val="009917BC"/>
    <w:rsid w:val="009A59A7"/>
    <w:rsid w:val="009F01D5"/>
    <w:rsid w:val="00A03946"/>
    <w:rsid w:val="00A94726"/>
    <w:rsid w:val="00B0149A"/>
    <w:rsid w:val="00BB6D71"/>
    <w:rsid w:val="00C13B48"/>
    <w:rsid w:val="00C61464"/>
    <w:rsid w:val="00CC732E"/>
    <w:rsid w:val="00D32CAE"/>
    <w:rsid w:val="00DC4A0E"/>
    <w:rsid w:val="00EA7FFB"/>
    <w:rsid w:val="00EB1F97"/>
    <w:rsid w:val="00F43085"/>
    <w:rsid w:val="00F434E6"/>
    <w:rsid w:val="00F94AE8"/>
    <w:rsid w:val="00FB3C74"/>
    <w:rsid w:val="00FB44C8"/>
    <w:rsid w:val="00FC2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E7BA3"/>
  <w15:chartTrackingRefBased/>
  <w15:docId w15:val="{F3A622C2-41EA-4599-9942-9B4EED86A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1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1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F97"/>
    <w:rPr>
      <w:rFonts w:eastAsiaTheme="majorEastAsia" w:cstheme="majorBidi"/>
      <w:color w:val="272727" w:themeColor="text1" w:themeTint="D8"/>
    </w:rPr>
  </w:style>
  <w:style w:type="paragraph" w:styleId="Title">
    <w:name w:val="Title"/>
    <w:basedOn w:val="Normal"/>
    <w:next w:val="Normal"/>
    <w:link w:val="TitleChar"/>
    <w:uiPriority w:val="10"/>
    <w:qFormat/>
    <w:rsid w:val="00EB1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F97"/>
    <w:pPr>
      <w:spacing w:before="160"/>
      <w:jc w:val="center"/>
    </w:pPr>
    <w:rPr>
      <w:i/>
      <w:iCs/>
      <w:color w:val="404040" w:themeColor="text1" w:themeTint="BF"/>
    </w:rPr>
  </w:style>
  <w:style w:type="character" w:customStyle="1" w:styleId="QuoteChar">
    <w:name w:val="Quote Char"/>
    <w:basedOn w:val="DefaultParagraphFont"/>
    <w:link w:val="Quote"/>
    <w:uiPriority w:val="29"/>
    <w:rsid w:val="00EB1F97"/>
    <w:rPr>
      <w:i/>
      <w:iCs/>
      <w:color w:val="404040" w:themeColor="text1" w:themeTint="BF"/>
    </w:rPr>
  </w:style>
  <w:style w:type="paragraph" w:styleId="ListParagraph">
    <w:name w:val="List Paragraph"/>
    <w:basedOn w:val="Normal"/>
    <w:uiPriority w:val="34"/>
    <w:qFormat/>
    <w:rsid w:val="00EB1F97"/>
    <w:pPr>
      <w:ind w:left="720"/>
      <w:contextualSpacing/>
    </w:pPr>
  </w:style>
  <w:style w:type="character" w:styleId="IntenseEmphasis">
    <w:name w:val="Intense Emphasis"/>
    <w:basedOn w:val="DefaultParagraphFont"/>
    <w:uiPriority w:val="21"/>
    <w:qFormat/>
    <w:rsid w:val="00EB1F97"/>
    <w:rPr>
      <w:i/>
      <w:iCs/>
      <w:color w:val="0F4761" w:themeColor="accent1" w:themeShade="BF"/>
    </w:rPr>
  </w:style>
  <w:style w:type="paragraph" w:styleId="IntenseQuote">
    <w:name w:val="Intense Quote"/>
    <w:basedOn w:val="Normal"/>
    <w:next w:val="Normal"/>
    <w:link w:val="IntenseQuoteChar"/>
    <w:uiPriority w:val="30"/>
    <w:qFormat/>
    <w:rsid w:val="00EB1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F97"/>
    <w:rPr>
      <w:i/>
      <w:iCs/>
      <w:color w:val="0F4761" w:themeColor="accent1" w:themeShade="BF"/>
    </w:rPr>
  </w:style>
  <w:style w:type="character" w:styleId="IntenseReference">
    <w:name w:val="Intense Reference"/>
    <w:basedOn w:val="DefaultParagraphFont"/>
    <w:uiPriority w:val="32"/>
    <w:qFormat/>
    <w:rsid w:val="00EB1F97"/>
    <w:rPr>
      <w:b/>
      <w:bCs/>
      <w:smallCaps/>
      <w:color w:val="0F4761" w:themeColor="accent1" w:themeShade="BF"/>
      <w:spacing w:val="5"/>
    </w:rPr>
  </w:style>
  <w:style w:type="character" w:styleId="Strong">
    <w:name w:val="Strong"/>
    <w:basedOn w:val="DefaultParagraphFont"/>
    <w:uiPriority w:val="22"/>
    <w:qFormat/>
    <w:rsid w:val="00EB1F97"/>
    <w:rPr>
      <w:b/>
      <w:bCs/>
    </w:rPr>
  </w:style>
  <w:style w:type="paragraph" w:customStyle="1" w:styleId="ds-markdown-paragraph">
    <w:name w:val="ds-markdown-paragraph"/>
    <w:basedOn w:val="Normal"/>
    <w:rsid w:val="007370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A05C9"/>
    <w:rPr>
      <w:rFonts w:ascii="Times New Roman" w:hAnsi="Times New Roman" w:cs="Times New Roman"/>
    </w:rPr>
  </w:style>
  <w:style w:type="character" w:styleId="Hyperlink">
    <w:name w:val="Hyperlink"/>
    <w:basedOn w:val="DefaultParagraphFont"/>
    <w:uiPriority w:val="99"/>
    <w:unhideWhenUsed/>
    <w:rsid w:val="00896067"/>
    <w:rPr>
      <w:color w:val="467886" w:themeColor="hyperlink"/>
      <w:u w:val="single"/>
    </w:rPr>
  </w:style>
  <w:style w:type="character" w:styleId="UnresolvedMention">
    <w:name w:val="Unresolved Mention"/>
    <w:basedOn w:val="DefaultParagraphFont"/>
    <w:uiPriority w:val="99"/>
    <w:semiHidden/>
    <w:unhideWhenUsed/>
    <w:rsid w:val="00896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vKT-Lu2dTk57aFod_ipkSrV4fw8xD9uidngt8--llb4/edit?usp=shar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oogle.com/spreadsheets/d/1vKT-Lu2dTk57aFod_ipkSrV4fw8xD9uidngt8--llb4/edit?usp=shar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vKT-Lu2dTk57aFod_ipkSrV4fw8xD9uidngt8--llb4/edit?usp=sharing" TargetMode="External"/><Relationship Id="rId11" Type="http://schemas.openxmlformats.org/officeDocument/2006/relationships/hyperlink" Target="https://docs.google.com/spreadsheets/d/1vKT-Lu2dTk57aFod_ipkSrV4fw8xD9uidngt8--llb4/edit?usp=sharing" TargetMode="External"/><Relationship Id="rId5" Type="http://schemas.openxmlformats.org/officeDocument/2006/relationships/hyperlink" Target="https://docs.google.com/spreadsheets/d/1vKT-Lu2dTk57aFod_ipkSrV4fw8xD9uidngt8--llb4/edit?usp=sharing" TargetMode="External"/><Relationship Id="rId10" Type="http://schemas.openxmlformats.org/officeDocument/2006/relationships/hyperlink" Target="https://docs.google.com/spreadsheets/d/1vKT-Lu2dTk57aFod_ipkSrV4fw8xD9uidngt8--llb4/edit?usp=sharing" TargetMode="External"/><Relationship Id="rId4" Type="http://schemas.openxmlformats.org/officeDocument/2006/relationships/webSettings" Target="webSettings.xml"/><Relationship Id="rId9" Type="http://schemas.openxmlformats.org/officeDocument/2006/relationships/hyperlink" Target="https://docs.google.com/spreadsheets/d/1vKT-Lu2dTk57aFod_ipkSrV4fw8xD9uidngt8--llb4/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1761</TotalTime>
  <Pages>8</Pages>
  <Words>2904</Words>
  <Characters>16903</Characters>
  <Application>Microsoft Office Word</Application>
  <DocSecurity>0</DocSecurity>
  <Lines>291</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Owen</dc:creator>
  <cp:keywords/>
  <dc:description/>
  <cp:lastModifiedBy>Patrick Owen</cp:lastModifiedBy>
  <cp:revision>6</cp:revision>
  <dcterms:created xsi:type="dcterms:W3CDTF">2026-03-25T15:35:00Z</dcterms:created>
  <dcterms:modified xsi:type="dcterms:W3CDTF">2026-03-28T14:06:00Z</dcterms:modified>
</cp:coreProperties>
</file>