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60" w:line="276" w:lineRule="auto"/>
      </w:pPr>
      <w:r>
        <w:rPr>
          <w:rFonts w:ascii="Arial" w:hAnsi="Arial" w:cs="Arial" w:eastAsia="Arial"/>
          <w:b w:val="0"/>
          <w:i w:val="0"/>
          <w:color w:val="4C39CA"/>
          <w:sz w:val="26"/>
        </w:rPr>
        <w:t>[Virksomhedens navn]</w:t>
      </w:r>
    </w:p>
    <w:p>
      <w:pPr>
        <w:keepNext/>
        <w:spacing w:before="0" w:after="0" w:line="240" w:lineRule="auto"/>
      </w:pPr>
      <w:r>
        <w:rPr>
          <w:rFonts w:ascii="Arial" w:hAnsi="Arial" w:cs="Arial" w:eastAsia="Arial"/>
          <w:b w:val="0"/>
          <w:i w:val="0"/>
          <w:color w:val="110663"/>
          <w:sz w:val="64"/>
        </w:rPr>
        <w:t>Provisionsplan [2026]</w:t>
      </w:r>
    </w:p>
    <w:p>
      <w:pPr>
        <w:pBdr>
          <w:bottom w:val="single" w:sz="24" w:space="1" w:color="46D3F7"/>
        </w:pBdr>
        <w:spacing w:before="120" w:after="160" w:line="276" w:lineRule="auto"/>
        <w:ind w:right="7726"/>
      </w:pPr>
    </w:p>
    <w:p>
      <w:pPr>
        <w:spacing w:before="0" w:after="360" w:line="276" w:lineRule="auto"/>
      </w:pPr>
      <w:r>
        <w:rPr>
          <w:rFonts w:ascii="Arial" w:hAnsi="Arial" w:cs="Arial" w:eastAsia="Arial"/>
          <w:b w:val="0"/>
          <w:i w:val="0"/>
          <w:color w:val="A1A0BD"/>
          <w:sz w:val="22"/>
        </w:rPr>
        <w:t>Skabelon med vejledning · Gratis fra Prowi</w:t>
      </w:r>
    </w:p>
    <w:p>
      <w:pPr>
        <w:pBdr>
          <w:top w:val="single" w:sz="4" w:space="6" w:color="F4F1FE"/>
          <w:left w:val="single" w:sz="18" w:space="6" w:color="4C39CA"/>
          <w:bottom w:val="single" w:sz="4" w:space="6" w:color="F4F1FE"/>
          <w:right w:val="single" w:sz="4" w:space="6" w:color="F4F1FE"/>
        </w:pBdr>
        <w:shd w:val="clear" w:color="auto" w:fill="F4F1FE"/>
        <w:spacing w:before="0" w:after="240" w:line="276" w:lineRule="auto"/>
        <w:ind w:left="140" w:right="120"/>
      </w:pPr>
      <w:r>
        <w:rPr>
          <w:rFonts w:ascii="Arial" w:hAnsi="Arial" w:cs="Arial" w:eastAsia="Arial"/>
          <w:b/>
          <w:i w:val="0"/>
          <w:color w:val="110663"/>
          <w:sz w:val="21"/>
        </w:rPr>
        <w:t>Skabelonen er et udgangspunkt og ikke juridisk rådgivning. Provisionsplanen beskriver reglerne for hele salgsteamet. Den enkelte sælgers vilkår skal også stå i ansættelseskontrakten eller en provisionsaftale. Tilpas planen til jeres overenskomst og kontrakter, og få den gennemgået, hvis I er i tvivl.</w:t>
      </w:r>
    </w:p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 xml:space="preserve">Felter i </w:t>
      </w:r>
      <w:r>
        <w:rPr>
          <w:rFonts w:ascii="Arial" w:hAnsi="Arial" w:cs="Arial" w:eastAsia="Arial"/>
          <w:b w:val="0"/>
          <w:i/>
          <w:color w:val="4C39CA"/>
          <w:sz w:val="19"/>
          <w:shd w:val="clear" w:color="auto" w:fill="E6E0FB"/>
        </w:rPr>
        <w:t>[lavendel klammer]</w:t>
      </w:r>
      <w:r>
        <w:rPr>
          <w:rFonts w:ascii="Arial" w:hAnsi="Arial" w:cs="Arial" w:eastAsia="Arial"/>
          <w:b w:val="0"/>
          <w:i/>
          <w:color w:val="4A4775"/>
          <w:sz w:val="19"/>
        </w:rPr>
        <w:t xml:space="preserve"> udfyldes. Hvor der står </w:t>
      </w:r>
      <w:r>
        <w:rPr>
          <w:rFonts w:ascii="Arial" w:hAnsi="Arial" w:cs="Arial" w:eastAsia="Arial"/>
          <w:b w:val="0"/>
          <w:i/>
          <w:color w:val="4C39CA"/>
          <w:sz w:val="19"/>
          <w:shd w:val="clear" w:color="auto" w:fill="E6E0FB"/>
        </w:rPr>
        <w:t>[Vælg: ... / ...]</w:t>
      </w:r>
      <w:r>
        <w:rPr>
          <w:rFonts w:ascii="Arial" w:hAnsi="Arial" w:cs="Arial" w:eastAsia="Arial"/>
          <w:b w:val="0"/>
          <w:i/>
          <w:color w:val="4A4775"/>
          <w:sz w:val="19"/>
        </w:rPr>
        <w:t>, beholder I den mulighed, der passer, og sletter resten. Alle afsnit, der starter med "Vejledning", er forklaringer til jer og slettes, før planen sendes ud. Tal i eksemplerne er eksempler. Skabelon fra Prowi (prowi.io).</w:t>
      </w:r>
    </w:p>
    <w:tbl>
      <w:tblPr>
        <w:tblW w:w="9026" w:type="dxa"/>
        <w:jc w:val="left"/>
        <w:tblBorders>
          <w:top w:val="single" w:sz="2" w:space="0" w:color="D9D5EA"/>
          <w:left w:val="single" w:sz="2" w:space="0" w:color="D9D5EA"/>
          <w:bottom w:val="single" w:sz="2" w:space="0" w:color="D9D5EA"/>
          <w:right w:val="single" w:sz="2" w:space="0" w:color="D9D5EA"/>
          <w:insideH w:val="single" w:sz="2" w:space="0" w:color="D9D5EA"/>
          <w:insideV w:val="single" w:sz="2" w:space="0" w:color="D9D5EA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3000"/>
        <w:gridCol w:w="6026"/>
      </w:tblGrid>
      <w:tr>
        <w:trPr>
          <w:tblHeader w:val="true"/>
          <w:cantSplit/>
        </w:trPr>
        <w:tc>
          <w:tcPr>
            <w:tcW w:type="dxa" w:w="30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Planens nøgleoplysninger</w:t>
            </w:r>
          </w:p>
        </w:tc>
        <w:tc>
          <w:tcPr>
            <w:tcW w:type="dxa" w:w="6026"/>
            <w:shd w:val="clear" w:color="auto" w:fill="F4F1FE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Gælder for</w:t>
            </w:r>
          </w:p>
        </w:tc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[Roller, fx account executives og inside sales]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Planperiode</w:t>
            </w:r>
          </w:p>
        </w:tc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[1. januar 2026]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 til </w:t>
            </w: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[31. december 2026]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Afregningsperiode</w:t>
            </w:r>
          </w:p>
        </w:tc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[Vælg: måned / kvartal]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Planejer</w:t>
            </w:r>
          </w:p>
        </w:tc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[Navn, titel]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, kontakt ved spørgsmål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Godkendt af</w:t>
            </w:r>
          </w:p>
        </w:tc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[Navn, titel]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 den </w:t>
            </w: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[dato]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Version</w:t>
            </w:r>
          </w:p>
        </w:tc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[1.0]</w:t>
            </w:r>
          </w:p>
        </w:tc>
      </w:tr>
    </w:tbl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1. Formål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Planen skal belønne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ny omsætning / dækningsbidrag / nye kunder / fornyelser]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og gøre det tydeligt for hver sælger, hvad der giver provision, hvordan den beregnes, og hvornår den udbetales.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Planens mål for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[2026]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er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[fx at nå en omsætning på 30 mio. kr. og 60 nye kunder]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>Skriv formålet i en eller to sætninger. Belønner planen noget andet end det, virksomheden har brug for, får I mere af det forkerte.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2. Hvem er omfattet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2.1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Planen gælder for medarbejdere i disse roller: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[rolle 1, rolle 2]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 Den enkelte sælgers rolle, kvote og satser står i bilag A.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2.2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En sælger, der starter i løbet af planperioden, er omfattet fra startdatoen med en kvote, der er nedsat for opstartsperioden efter punkt 4.3.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2.3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Skifter en sælger rolle eller territorie, gælder de nye vilkår fra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den første dag i den følgende måned / datoen for skiftet]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 Salg, der er registreret før skiftet, afregnes efter de hidtidige vilkår.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2.4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Fratræder en sælger, gælder reglerne om provision ved fratræden i sælgerens provisionsaftale.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3. Planperiode og afregning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3.1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Planen gælder fra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[dato]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til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[dato]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. Provision beregnes og afregnes pr.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kalendermåned / kvartal]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3.2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Kvoter og acceleratorer gælder pr.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måned / kvartal / år]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.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[Hvis år: Provisionen udbetales løbende med basissatsen, og acceleratoren afregnes, når årskvoten er nået.]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4. Kvote og mål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4.1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Hver sælger har en kvote for planperioden, fordelt på måneder efter sæson. Kvoten står i bilag A.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4.2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Kvoten er fastsat ud fra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[virksomhedens omsætningsmål, territoriets potentiale og sælgerens kapacitet]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og meddeles skriftligt senest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[dato]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4.3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Nye sælgere har en nedsat kvote i opstartsperioden: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[25]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 % i første måned,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[50]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 % i anden og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[75]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 % i tredje måned. Derefter fuld kvote.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4.4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Ved fravær med løn, fx ferie ud over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[normal ferie]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, sygdom og barsel,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nedsættes kvoten forholdsmæssigt / medregnes den skønnede provision i målopfyldelsen]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efter provisionsaftalen.</w:t>
      </w:r>
    </w:p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>Summen af kvoterne er typisk højere end virksomhedens mål (over-assignment), så målet kan nås, selv om ikke alle sælgere når 100 %. Brug gerne vores gratis kvoteplan-skabelon til at regne kvoterne ud.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5. Provisionsgrundlag og satser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5.1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Provision beregnes af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nettoomsætning ekskl. moms, fragt og rabatter / dækningsbidrag / første års kontraktværdi (ACV)]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for salg, der er registreret som vundet i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[CRM-system]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5.2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Følgende giver ikke provision: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[fx salg til koncernforbundne selskaber, gratis perioder, kreditnotaer og fornyelser]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5.3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Satserne pr. rolle:</w:t>
      </w:r>
    </w:p>
    <w:p>
      <w:pPr>
        <w:spacing w:before="0" w:after="60" w:line="276" w:lineRule="auto"/>
      </w:pPr>
    </w:p>
    <w:tbl>
      <w:tblPr>
        <w:tblW w:w="9026" w:type="dxa"/>
        <w:jc w:val="left"/>
        <w:tblBorders>
          <w:top w:val="single" w:sz="2" w:space="0" w:color="D9D5EA"/>
          <w:left w:val="single" w:sz="2" w:space="0" w:color="D9D5EA"/>
          <w:bottom w:val="single" w:sz="2" w:space="0" w:color="D9D5EA"/>
          <w:right w:val="single" w:sz="2" w:space="0" w:color="D9D5EA"/>
          <w:insideH w:val="single" w:sz="2" w:space="0" w:color="D9D5EA"/>
          <w:insideV w:val="single" w:sz="2" w:space="0" w:color="D9D5EA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2400"/>
        <w:gridCol w:w="2200"/>
        <w:gridCol w:w="2200"/>
        <w:gridCol w:w="2226"/>
      </w:tblGrid>
      <w:tr>
        <w:trPr>
          <w:tblHeader w:val="true"/>
          <w:cantSplit/>
        </w:trPr>
        <w:tc>
          <w:tcPr>
            <w:tcW w:type="dxa" w:w="24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Rolle</w:t>
            </w:r>
          </w:p>
        </w:tc>
        <w:tc>
          <w:tcPr>
            <w:tcW w:type="dxa" w:w="22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Sats op til kvote</w:t>
            </w:r>
          </w:p>
        </w:tc>
        <w:tc>
          <w:tcPr>
            <w:tcW w:type="dxa" w:w="22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Sats over kvote</w:t>
            </w:r>
          </w:p>
        </w:tc>
        <w:tc>
          <w:tcPr>
            <w:tcW w:type="dxa" w:w="2226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Loft pr. periode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[Account executive]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[8]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 %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[12]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 %</w:t>
            </w:r>
          </w:p>
        </w:tc>
        <w:tc>
          <w:tcPr>
            <w:tcW w:type="dxa" w:w="22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[Intet loft]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[Inside sales]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[5]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 %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[7,5]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 %</w:t>
            </w:r>
          </w:p>
        </w:tc>
        <w:tc>
          <w:tcPr>
            <w:tcW w:type="dxa" w:w="22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[200]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 % af variabel løn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[Rolle 3]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22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22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110663"/>
          <w:sz w:val="21"/>
        </w:rPr>
        <w:t>Eksempel: En account executive med en månedskvote på 300.000 kr. sælger for 360.000 kr. Provisionen er 300.000 × 8 % + 60.000 × 12 % = 24.000 + 7.200 = 31.200 kr.</w:t>
      </w:r>
    </w:p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>Provisionssatsen er typisk den variable løn ved 100 % divideret med kvoten. Skriv altid et regneeksempel ind i planen, så alle læser satserne ens. Vores gratis OTE og pay mix skabelon regner satserne ud fra OTE og kvote.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6. Acceleratorer, deceleratorer og loft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6.1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Over 100 % af kvoten gælder satsen over kvote i punkt 5.3, men kun for salget over kvoten.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6.2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[Hvis decelerator:]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Under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[50]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 % af kvoten er satsen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[halveret / 0 %]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6.3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[Hvis loft:]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Provisionen er højst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[beløb eller procent af variabel løn]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pr.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[periode]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. Ekstraordinært store handler over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[beløb]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behandles efter punkt 13.3.</w:t>
      </w:r>
    </w:p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>Et loft gør omkostningen forudsigelig, men kan få sælgere til at udskyde handler. Overvej i stedet en godkendelsesregel for meget store handler.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7. Kreditering og split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7.1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Et salg krediteres den sælger, der står som ejer af handlen i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[CRM-system]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, når handlen markeres som vundet.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7.2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Har flere bidraget, fordeles provisionen efter tabellen nedenfor. Andre fordelinger aftales skriftligt med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[salgschefen]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, før handlen lukkes.</w:t>
      </w:r>
    </w:p>
    <w:p>
      <w:pPr>
        <w:spacing w:before="0" w:after="60" w:line="276" w:lineRule="auto"/>
      </w:pPr>
    </w:p>
    <w:tbl>
      <w:tblPr>
        <w:tblW w:w="9026" w:type="dxa"/>
        <w:jc w:val="left"/>
        <w:tblBorders>
          <w:top w:val="single" w:sz="2" w:space="0" w:color="D9D5EA"/>
          <w:left w:val="single" w:sz="2" w:space="0" w:color="D9D5EA"/>
          <w:bottom w:val="single" w:sz="2" w:space="0" w:color="D9D5EA"/>
          <w:right w:val="single" w:sz="2" w:space="0" w:color="D9D5EA"/>
          <w:insideH w:val="single" w:sz="2" w:space="0" w:color="D9D5EA"/>
          <w:insideV w:val="single" w:sz="2" w:space="0" w:color="D9D5EA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4513"/>
        <w:gridCol w:w="2256"/>
        <w:gridCol w:w="2257"/>
      </w:tblGrid>
      <w:tr>
        <w:trPr>
          <w:tblHeader w:val="true"/>
          <w:cantSplit/>
        </w:trPr>
        <w:tc>
          <w:tcPr>
            <w:tcW w:type="dxa" w:w="4513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Situation</w:t>
            </w:r>
          </w:p>
        </w:tc>
        <w:tc>
          <w:tcPr>
            <w:tcW w:type="dxa" w:w="2256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Sælger 1</w:t>
            </w:r>
          </w:p>
        </w:tc>
        <w:tc>
          <w:tcPr>
            <w:tcW w:type="dxa" w:w="2257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Sælger 2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[SDR har booket mødet, AE lukker]</w:t>
            </w:r>
          </w:p>
        </w:tc>
        <w:tc>
          <w:tcPr>
            <w:tcW w:type="dxa" w:w="225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[AE 90 %]</w:t>
            </w:r>
          </w:p>
        </w:tc>
        <w:tc>
          <w:tcPr>
            <w:tcW w:type="dxa" w:w="2257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[SDR 10 %]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[Kunden har afdelinger i to territorier]</w:t>
            </w:r>
          </w:p>
        </w:tc>
        <w:tc>
          <w:tcPr>
            <w:tcW w:type="dxa" w:w="225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[50 %]</w:t>
            </w:r>
          </w:p>
        </w:tc>
        <w:tc>
          <w:tcPr>
            <w:tcW w:type="dxa" w:w="2257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[50 %]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[Key account med støtte fra specialist]</w:t>
            </w:r>
          </w:p>
        </w:tc>
        <w:tc>
          <w:tcPr>
            <w:tcW w:type="dxa" w:w="225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[80 %]</w:t>
            </w:r>
          </w:p>
        </w:tc>
        <w:tc>
          <w:tcPr>
            <w:tcW w:type="dxa" w:w="2257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[20 %]</w:t>
            </w:r>
          </w:p>
        </w:tc>
      </w:tr>
    </w:tbl>
    <w:p>
      <w:pPr>
        <w:spacing w:before="0" w:after="60" w:line="276" w:lineRule="auto"/>
      </w:pP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7.3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Kunder på listen over husets kunder (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[house accounts]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) giver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ingen provision / provision med x %]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7.4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Uenighed om kreditering afgøres af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[salgschefen]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inden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[10]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dage efter, at den er meldt.</w:t>
      </w:r>
    </w:p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>Kreditering er den hyppigste kilde til uenighed i et team. Skriv reglerne ned, før der opstår en sag, og sørg for, at ejeren i CRM er opdateret, når handlen lukkes.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8. Hvornår et salg tæller, og hvornår der udbetales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8.1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Et salg tæller i den måned, hvor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kunden har underskrevet / kunden er faktureret / kunden har betalt]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8.2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Provisionen udbetales med lønnen for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måneden efter afregningsperioden / samme måned]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, når opgørelsen er godkendt efter punkt 11.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8.3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[Hvis forskud:]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Nye sælgere får et forskud på provision på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[beløb]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kr. pr. måned i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[3]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måneder, som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[Vælg: modregnes i senere provision / ikke modregnes (garanti)]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9. Clawback og korrektioner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9.1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Annullerer kunden, eller betaler kunden ikke, inden for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[3]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måneder, bortfalder provisionen af den del, efter reglerne i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[bilag om clawback-regler / provisionsaftalen]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9.2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Clawback modregnes i senere provision og vises som en særskilt linje på opgørelsen med den oprindelige handel.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9.3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Fejl i beregningen rettes i den førstkommende opgørelse, uanset hvem fejlen er til fordel for.</w:t>
      </w:r>
    </w:p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>Danske arbejdsgivere kan ikke bare trække et beløb i lønnen. Beskriv clawback i detaljer i et særskilt bilag, og få reglen gennemgået. Vores gratis skabelon til clawback-regler har tekst til det.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10. Opgørelse og indsigelser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10.1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Hver sælger får en skriftlig opgørelse senest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[den 5. hverdag]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efter afregningsperioden. Opgørelsen viser handler, grundlag, sats, acceleratorer, korrektioner, clawbacks og beløbet til udbetaling.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10.2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Mener sælgeren, at opgørelsen er forkert, sendes en skriftlig indsigelse til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[nærmeste leder]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inden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[30]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dage med en kort begrundelse.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10.3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[Nærmeste leder]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svarer inden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[10]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arbejdsdage. Kan sagen ikke løses, går den videre til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[salgsdirektør / HR / økonomichef]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, som træffer afgørelse inden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[10]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arbejdsdage.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10.4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Sælgeren kan få grundlaget for beregningen af egne salg udleveret og kan inddrage sin tillidsrepræsentant.</w:t>
      </w:r>
    </w:p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>En fast indsigelsesfrist skaber ro, men den kan ikke afskære krav, som medarbejderen har efter loven. Gem opgørelser og planversioner i mindst 3 år.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11. Godkendelser</w:t>
      </w:r>
    </w:p>
    <w:p>
      <w:pPr>
        <w:spacing w:before="0" w:after="60" w:line="276" w:lineRule="auto"/>
      </w:pPr>
    </w:p>
    <w:tbl>
      <w:tblPr>
        <w:tblW w:w="9026" w:type="dxa"/>
        <w:jc w:val="left"/>
        <w:tblBorders>
          <w:top w:val="single" w:sz="2" w:space="0" w:color="D9D5EA"/>
          <w:left w:val="single" w:sz="2" w:space="0" w:color="D9D5EA"/>
          <w:bottom w:val="single" w:sz="2" w:space="0" w:color="D9D5EA"/>
          <w:right w:val="single" w:sz="2" w:space="0" w:color="D9D5EA"/>
          <w:insideH w:val="single" w:sz="2" w:space="0" w:color="D9D5EA"/>
          <w:insideV w:val="single" w:sz="2" w:space="0" w:color="D9D5EA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4000"/>
        <w:gridCol w:w="5026"/>
      </w:tblGrid>
      <w:tr>
        <w:trPr>
          <w:tblHeader w:val="true"/>
          <w:cantSplit/>
        </w:trPr>
        <w:tc>
          <w:tcPr>
            <w:tcW w:type="dxa" w:w="40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Hvad</w:t>
            </w:r>
          </w:p>
        </w:tc>
        <w:tc>
          <w:tcPr>
            <w:tcW w:type="dxa" w:w="5026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Godkendes af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Planen og ændringer i planen</w:t>
            </w:r>
          </w:p>
        </w:tc>
        <w:tc>
          <w:tcPr>
            <w:tcW w:type="dxa" w:w="5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[Administrerende direktør og økonomichef]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Kvoter pr. sælger (bilag A)</w:t>
            </w:r>
          </w:p>
        </w:tc>
        <w:tc>
          <w:tcPr>
            <w:tcW w:type="dxa" w:w="5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[Salgsdirektør]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Splits og undtagelser</w:t>
            </w:r>
          </w:p>
        </w:tc>
        <w:tc>
          <w:tcPr>
            <w:tcW w:type="dxa" w:w="5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[Salgsdirektør]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, skriftligt før handlen lukkes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Månedlig opgørelse pr. sælger</w:t>
            </w:r>
          </w:p>
        </w:tc>
        <w:tc>
          <w:tcPr>
            <w:tcW w:type="dxa" w:w="5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[Nærmeste leder]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, derefter </w:t>
            </w: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[økonomi]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Udbetaling via lønsystemet</w:t>
            </w:r>
          </w:p>
        </w:tc>
        <w:tc>
          <w:tcPr>
            <w:tcW w:type="dxa" w:w="50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[Økonomi / HR]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12. Ændringer af planen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12.1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Planen gælder for planperioden. Nye kvoter og satser for en ny periode meddeles skriftligt senest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[dato]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12.2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Væsentlige ændringer i løbet af perioden, der stiller sælgerne ringere, fx lavere satser, et nyt grundlag eller et nyt loft, varsles individuelt og skriftligt med den enkelte sælgers opsigelsesvarsel.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12.3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Andre ændringer meddeles skriftligt senest den dag, de træder i kraft.</w:t>
      </w:r>
    </w:p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>Et generelt forbehold om, at planen kan ændres til enhver tid, fjerner ikke nødvendigvis pligten til at varsle en væsentlig ændring. Ændringer i lønoplysningerne skal meddeles skriftligt senest den dag, de træder i kraft (ansættelsesbevisloven § 5).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13. Særlige situationer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13.1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Tvivl om, hvordan planen skal forstås, afgøres af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[planejeren]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efter drøftelse med sælgeren.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13.2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>Handler, der er oprettet eller ændret for at opnå provision, uden at der er et reelt salg, giver ikke provision.</w:t>
      </w:r>
    </w:p>
    <w:p>
      <w:pPr>
        <w:tabs>
          <w:tab w:pos="567" w:val="left"/>
        </w:tabs>
        <w:spacing w:before="0" w:after="120" w:line="276" w:lineRule="auto"/>
        <w:ind w:left="567" w:hanging="567"/>
      </w:pPr>
      <w:r>
        <w:rPr>
          <w:rFonts w:ascii="Arial" w:hAnsi="Arial" w:cs="Arial" w:eastAsia="Arial"/>
          <w:b/>
          <w:i w:val="0"/>
          <w:color w:val="4C39CA"/>
          <w:sz w:val="21"/>
        </w:rPr>
        <w:t>13.3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ab/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Handler over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[beløb]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godkendes særskilt af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[administrerende direktør]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>, som også fastsætter provisionen, hvis handlen falder uden for planens forudsætninger.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14. Bekræftelse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Jeg har modtaget og læst provisionsplanen for </w:t>
      </w:r>
      <w:r>
        <w:rPr>
          <w:rFonts w:ascii="Arial" w:hAnsi="Arial" w:cs="Arial" w:eastAsia="Arial"/>
          <w:b w:val="0"/>
          <w:i w:val="0"/>
          <w:color w:val="4C39CA"/>
          <w:sz w:val="21"/>
          <w:shd w:val="clear" w:color="auto" w:fill="E6E0FB"/>
        </w:rPr>
        <w:t>[2026]</w:t>
      </w:r>
      <w:r>
        <w:rPr>
          <w:rFonts w:ascii="Arial" w:hAnsi="Arial" w:cs="Arial" w:eastAsia="Arial"/>
          <w:b w:val="0"/>
          <w:i w:val="0"/>
          <w:color w:val="110663"/>
          <w:sz w:val="21"/>
        </w:rPr>
        <w:t xml:space="preserve"> og bilag A med mine egne vilkår.</w:t>
      </w:r>
    </w:p>
    <w:p>
      <w:pPr>
        <w:spacing w:before="0" w:after="60" w:line="276" w:lineRule="auto"/>
      </w:pPr>
    </w:p>
    <w:tbl>
      <w:tblPr>
        <w:tblW w:w="9026" w:type="dxa"/>
        <w:jc w:val="left"/>
        <w:tblBorders>
          <w:top w:val="single" w:sz="2" w:space="0" w:color="D9D5EA"/>
          <w:left w:val="single" w:sz="2" w:space="0" w:color="D9D5EA"/>
          <w:bottom w:val="single" w:sz="2" w:space="0" w:color="D9D5EA"/>
          <w:right w:val="single" w:sz="2" w:space="0" w:color="D9D5EA"/>
          <w:insideH w:val="single" w:sz="2" w:space="0" w:color="D9D5EA"/>
          <w:insideV w:val="single" w:sz="2" w:space="0" w:color="D9D5EA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/>
        </w:trPr>
        <w:tc>
          <w:tcPr>
            <w:tcW w:type="dxa" w:w="4513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Sælger</w:t>
            </w:r>
          </w:p>
        </w:tc>
        <w:tc>
          <w:tcPr>
            <w:tcW w:type="dxa" w:w="4513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For Virksomheden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Sted og dato: </w:t>
            </w: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                   ]</w:t>
            </w:r>
          </w:p>
        </w:tc>
        <w:tc>
          <w:tcPr>
            <w:tcW w:type="dxa" w:w="4513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Sted og dato: </w:t>
            </w: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                   ]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72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_______________________________</w:t>
            </w:r>
          </w:p>
        </w:tc>
        <w:tc>
          <w:tcPr>
            <w:tcW w:type="dxa" w:w="4513"/>
          </w:tcPr>
          <w:p>
            <w:pPr>
              <w:spacing w:before="72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>_______________________________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[Navn]</w:t>
            </w:r>
          </w:p>
        </w:tc>
        <w:tc>
          <w:tcPr>
            <w:tcW w:type="dxa" w:w="4513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[Navn og titel]</w:t>
            </w:r>
          </w:p>
        </w:tc>
      </w:tr>
    </w:tbl>
    <w:p>
      <w:pPr>
        <w:keepLines/>
        <w:pBdr>
          <w:top w:val="single" w:sz="4" w:space="6" w:color="F4F1FE"/>
          <w:left w:val="single" w:sz="4" w:space="6" w:color="F4F1FE"/>
          <w:bottom w:val="single" w:sz="4" w:space="6" w:color="F4F1FE"/>
          <w:right w:val="single" w:sz="4" w:space="6" w:color="F4F1FE"/>
        </w:pBdr>
        <w:shd w:val="clear" w:color="auto" w:fill="F4F1FE"/>
        <w:spacing w:before="120" w:after="220" w:line="264" w:lineRule="auto"/>
        <w:ind w:left="687" w:right="120"/>
      </w:pPr>
      <w:r>
        <w:rPr>
          <w:rFonts w:ascii="Arial" w:hAnsi="Arial" w:cs="Arial" w:eastAsia="Arial"/>
          <w:b/>
          <w:i/>
          <w:color w:val="4C39CA"/>
          <w:sz w:val="19"/>
        </w:rPr>
        <w:t xml:space="preserve">Vejledning: </w:t>
      </w:r>
      <w:r>
        <w:rPr>
          <w:rFonts w:ascii="Arial" w:hAnsi="Arial" w:cs="Arial" w:eastAsia="Arial"/>
          <w:b w:val="0"/>
          <w:i/>
          <w:color w:val="4A4775"/>
          <w:sz w:val="19"/>
        </w:rPr>
        <w:t>Bekræftelsen viser, at sælgeren har fået planen. Den gør ikke planen til en del af ansættelseskontrakten, hvis vilkårene ikke også står i kontrakten eller en provisionsaftale.</w:t>
      </w:r>
    </w:p>
    <w:p>
      <w:pPr>
        <w:pStyle w:val="Heading2"/>
        <w:keepNext/>
        <w:spacing w:before="400" w:after="140" w:line="240" w:lineRule="auto"/>
      </w:pPr>
      <w:r>
        <w:rPr>
          <w:rFonts w:ascii="Arial" w:hAnsi="Arial" w:cs="Arial" w:eastAsia="Arial"/>
          <w:b w:val="0"/>
          <w:i w:val="0"/>
          <w:color w:val="110663"/>
          <w:sz w:val="30"/>
        </w:rPr>
        <w:t>Bilag A: Vilkår pr. sælger</w:t>
      </w:r>
    </w:p>
    <w:tbl>
      <w:tblPr>
        <w:tblW w:w="9026" w:type="dxa"/>
        <w:jc w:val="left"/>
        <w:tblBorders>
          <w:top w:val="single" w:sz="2" w:space="0" w:color="D9D5EA"/>
          <w:left w:val="single" w:sz="2" w:space="0" w:color="D9D5EA"/>
          <w:bottom w:val="single" w:sz="2" w:space="0" w:color="D9D5EA"/>
          <w:right w:val="single" w:sz="2" w:space="0" w:color="D9D5EA"/>
          <w:insideH w:val="single" w:sz="2" w:space="0" w:color="D9D5EA"/>
          <w:insideV w:val="single" w:sz="2" w:space="0" w:color="D9D5EA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2100"/>
        <w:gridCol w:w="1500"/>
        <w:gridCol w:w="1500"/>
        <w:gridCol w:w="1300"/>
        <w:gridCol w:w="1300"/>
        <w:gridCol w:w="1326"/>
      </w:tblGrid>
      <w:tr>
        <w:trPr>
          <w:tblHeader w:val="true"/>
          <w:cantSplit/>
        </w:trPr>
        <w:tc>
          <w:tcPr>
            <w:tcW w:type="dxa" w:w="21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Sælger</w:t>
            </w:r>
          </w:p>
        </w:tc>
        <w:tc>
          <w:tcPr>
            <w:tcW w:type="dxa" w:w="15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Rolle</w:t>
            </w:r>
          </w:p>
        </w:tc>
        <w:tc>
          <w:tcPr>
            <w:tcW w:type="dxa" w:w="15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Kvote i perioden</w:t>
            </w:r>
          </w:p>
        </w:tc>
        <w:tc>
          <w:tcPr>
            <w:tcW w:type="dxa" w:w="13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Sats op til kvote</w:t>
            </w:r>
          </w:p>
        </w:tc>
        <w:tc>
          <w:tcPr>
            <w:tcW w:type="dxa" w:w="1300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Sats over kvote</w:t>
            </w:r>
          </w:p>
        </w:tc>
        <w:tc>
          <w:tcPr>
            <w:tcW w:type="dxa" w:w="1326"/>
            <w:shd w:val="clear" w:color="auto" w:fill="F4F1FE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110663"/>
                <w:sz w:val="19"/>
              </w:rPr>
              <w:t>Startdato / opstart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[Navn]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[AE]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[3.600.000 kr.]</w:t>
            </w:r>
          </w:p>
        </w:tc>
        <w:tc>
          <w:tcPr>
            <w:tcW w:type="dxa" w:w="13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[8]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 %</w:t>
            </w:r>
          </w:p>
        </w:tc>
        <w:tc>
          <w:tcPr>
            <w:tcW w:type="dxa" w:w="13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[12]</w:t>
            </w:r>
            <w:r>
              <w:rPr>
                <w:rFonts w:ascii="Arial" w:hAnsi="Arial" w:cs="Arial" w:eastAsia="Arial"/>
                <w:b w:val="0"/>
                <w:i w:val="0"/>
                <w:color w:val="110663"/>
                <w:sz w:val="19"/>
              </w:rPr>
              <w:t xml:space="preserve"> %</w:t>
            </w:r>
          </w:p>
        </w:tc>
        <w:tc>
          <w:tcPr>
            <w:tcW w:type="dxa" w:w="13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[Navn]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3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3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3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[Navn]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3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3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3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[Navn]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5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3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300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  <w:tc>
          <w:tcPr>
            <w:tcW w:type="dxa" w:w="1326"/>
          </w:tcPr>
          <w:p>
            <w:pPr>
              <w:spacing w:before="0" w:after="0" w:line="252" w:lineRule="auto"/>
            </w:pPr>
            <w:r>
              <w:rPr>
                <w:rFonts w:ascii="Arial" w:hAnsi="Arial" w:cs="Arial" w:eastAsia="Arial"/>
                <w:b w:val="0"/>
                <w:i w:val="0"/>
                <w:color w:val="4C39CA"/>
                <w:sz w:val="19"/>
                <w:shd w:val="clear" w:color="auto" w:fill="E6E0FB"/>
              </w:rPr>
              <w:t>[ 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500" w:right="1440" w:bottom="1300" w:left="1440" w:header="60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2" w:space="6" w:color="D9D5EA"/>
      </w:pBdr>
      <w:tabs>
        <w:tab w:pos="9026" w:val="right"/>
      </w:tabs>
    </w:pPr>
    <w:r>
      <w:rPr>
        <w:rFonts w:ascii="Arial" w:hAnsi="Arial" w:cs="Arial" w:eastAsia="Arial"/>
        <w:b w:val="0"/>
        <w:i w:val="0"/>
        <w:color w:val="A1A0BD"/>
        <w:sz w:val="16"/>
      </w:rPr>
      <w:t>prowi.io · Gratis skabelon fra Prowi · Ikke juridisk rådgivning</w:t>
    </w:r>
    <w:r>
      <w:rPr>
        <w:rFonts w:ascii="Arial" w:hAnsi="Arial" w:cs="Arial" w:eastAsia="Arial"/>
        <w:b w:val="0"/>
        <w:i w:val="0"/>
        <w:color w:val="A1A0BD"/>
        <w:sz w:val="16"/>
      </w:rPr>
      <w:tab/>
    </w:r>
    <w:r>
      <w:rPr>
        <w:rFonts w:ascii="Arial" w:hAnsi="Arial" w:cs="Arial" w:eastAsia="Arial"/>
        <w:b w:val="0"/>
        <w:i w:val="0"/>
        <w:color w:val="A1A0BD"/>
        <w:sz w:val="16"/>
      </w:rPr>
      <w:t xml:space="preserve">Side </w:t>
    </w:r>
    <w:r>
      <w:rPr>
        <w:rFonts w:ascii="Arial" w:hAnsi="Arial" w:cs="Arial" w:eastAsia="Arial"/>
        <w:b w:val="0"/>
        <w:i w:val="0"/>
        <w:color w:val="A1A0BD"/>
        <w:sz w:val="16"/>
      </w:rPr>
      <w:fldChar w:fldCharType="begin"/>
    </w:r>
    <w:r>
      <w:rPr>
        <w:rFonts w:ascii="Arial" w:hAnsi="Arial" w:cs="Arial" w:eastAsia="Arial"/>
        <w:b w:val="0"/>
        <w:i w:val="0"/>
        <w:color w:val="A1A0BD"/>
        <w:sz w:val="16"/>
      </w:rPr>
      <w:instrText xml:space="preserve"> PAGE </w:instrText>
    </w:r>
    <w:r>
      <w:rPr>
        <w:rFonts w:ascii="Arial" w:hAnsi="Arial" w:cs="Arial" w:eastAsia="Arial"/>
        <w:b w:val="0"/>
        <w:i w:val="0"/>
        <w:color w:val="A1A0BD"/>
        <w:sz w:val="16"/>
      </w:rPr>
      <w:fldChar w:fldCharType="separate"/>
    </w:r>
    <w:r>
      <w:rPr>
        <w:rFonts w:ascii="Arial" w:hAnsi="Arial" w:cs="Arial" w:eastAsia="Arial"/>
        <w:b w:val="0"/>
        <w:i w:val="0"/>
        <w:color w:val="A1A0BD"/>
        <w:sz w:val="16"/>
      </w:rPr>
      <w:t>1</w:t>
    </w:r>
    <w:r>
      <w:rPr>
        <w:rFonts w:ascii="Arial" w:hAnsi="Arial" w:cs="Arial" w:eastAsia="Arial"/>
        <w:b w:val="0"/>
        <w:i w:val="0"/>
        <w:color w:val="A1A0BD"/>
        <w:sz w:val="16"/>
      </w:rPr>
      <w:fldChar w:fldCharType="end"/>
    </w:r>
    <w:r>
      <w:rPr>
        <w:rFonts w:ascii="Arial" w:hAnsi="Arial" w:cs="Arial" w:eastAsia="Arial"/>
        <w:b w:val="0"/>
        <w:i w:val="0"/>
        <w:color w:val="A1A0BD"/>
        <w:sz w:val="16"/>
      </w:rPr>
      <w:t xml:space="preserve"> af </w:t>
    </w:r>
    <w:r>
      <w:rPr>
        <w:rFonts w:ascii="Arial" w:hAnsi="Arial" w:cs="Arial" w:eastAsia="Arial"/>
        <w:b w:val="0"/>
        <w:i w:val="0"/>
        <w:color w:val="A1A0BD"/>
        <w:sz w:val="16"/>
      </w:rPr>
      <w:fldChar w:fldCharType="begin"/>
    </w:r>
    <w:r>
      <w:rPr>
        <w:rFonts w:ascii="Arial" w:hAnsi="Arial" w:cs="Arial" w:eastAsia="Arial"/>
        <w:b w:val="0"/>
        <w:i w:val="0"/>
        <w:color w:val="A1A0BD"/>
        <w:sz w:val="16"/>
      </w:rPr>
      <w:instrText xml:space="preserve"> NUMPAGES </w:instrText>
    </w:r>
    <w:r>
      <w:rPr>
        <w:rFonts w:ascii="Arial" w:hAnsi="Arial" w:cs="Arial" w:eastAsia="Arial"/>
        <w:b w:val="0"/>
        <w:i w:val="0"/>
        <w:color w:val="A1A0BD"/>
        <w:sz w:val="16"/>
      </w:rPr>
      <w:fldChar w:fldCharType="separate"/>
    </w:r>
    <w:r>
      <w:rPr>
        <w:rFonts w:ascii="Arial" w:hAnsi="Arial" w:cs="Arial" w:eastAsia="Arial"/>
        <w:b w:val="0"/>
        <w:i w:val="0"/>
        <w:color w:val="A1A0BD"/>
        <w:sz w:val="16"/>
      </w:rPr>
      <w:t>1</w:t>
    </w:r>
    <w:r>
      <w:rPr>
        <w:rFonts w:ascii="Arial" w:hAnsi="Arial" w:cs="Arial" w:eastAsia="Arial"/>
        <w:b w:val="0"/>
        <w:i w:val="0"/>
        <w:color w:val="A1A0BD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2" w:space="6" w:color="D9D5EA"/>
      </w:pBdr>
      <w:tabs>
        <w:tab w:pos="9026" w:val="right"/>
      </w:tabs>
    </w:pPr>
    <w:r>
      <w:drawing>
        <wp:inline xmlns:a="http://schemas.openxmlformats.org/drawingml/2006/main" xmlns:pic="http://schemas.openxmlformats.org/drawingml/2006/picture">
          <wp:extent cx="838200" cy="25717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rowi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38200" cy="257175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cs="Arial" w:eastAsia="Arial"/>
        <w:b w:val="0"/>
        <w:i w:val="0"/>
        <w:color w:val="A1A0BD"/>
        <w:sz w:val="17"/>
      </w:rPr>
      <w:tab/>
    </w:r>
    <w:r>
      <w:rPr>
        <w:rFonts w:ascii="Arial" w:hAnsi="Arial" w:cs="Arial" w:eastAsia="Arial"/>
        <w:b w:val="0"/>
        <w:i w:val="0"/>
        <w:color w:val="A1A0BD"/>
        <w:sz w:val="17"/>
      </w:rPr>
      <w:t>Provisionsplan · Skabelon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106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 w:val="0"/>
      <w:bCs/>
      <w:i w:val="0"/>
      <w:color w:val="11066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Provisionsplan (skabelon)</dc:title>
  <dc:subject/>
  <dc:creator>Prowi</dc:creator>
  <cp:keywords/>
  <dc:description>Provisionsplan for salgsteamet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