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EB9" w:rsidRDefault="005E3E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5E3EB9" w:rsidRPr="00856B1E" w:rsidRDefault="000C2498">
      <w:pPr>
        <w:pStyle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Тема работы</w:t>
      </w:r>
      <w:bookmarkStart w:id="0" w:name="_GoBack"/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bookmarkEnd w:id="0"/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Анализ экономики Чехии согласно различным подходам.</w:t>
      </w:r>
    </w:p>
    <w:p w:rsidR="005E3EB9" w:rsidRPr="00856B1E" w:rsidRDefault="000C2498">
      <w:pPr>
        <w:rPr>
          <w:lang w:val="ru-RU"/>
        </w:rPr>
      </w:pPr>
      <w:r w:rsidRPr="00856B1E">
        <w:rPr>
          <w:lang w:val="ru-RU"/>
        </w:rPr>
        <w:t xml:space="preserve">Все использованные данные расположены в папке </w:t>
      </w:r>
      <w:r>
        <w:t>data</w:t>
      </w:r>
      <w:r w:rsidRPr="00856B1E">
        <w:rPr>
          <w:lang w:val="ru-RU"/>
        </w:rPr>
        <w:t xml:space="preserve">. На их основе были сделаны графики в папке </w:t>
      </w:r>
      <w:r>
        <w:t>pictures</w:t>
      </w:r>
      <w:r w:rsidRPr="00856B1E">
        <w:rPr>
          <w:lang w:val="ru-RU"/>
        </w:rPr>
        <w:t xml:space="preserve"> с помощью кода из папки </w:t>
      </w:r>
      <w:r>
        <w:t>scripts</w:t>
      </w:r>
      <w:r w:rsidRPr="00856B1E">
        <w:rPr>
          <w:lang w:val="ru-RU"/>
        </w:rPr>
        <w:t>.</w:t>
      </w:r>
    </w:p>
    <w:p w:rsidR="005E3EB9" w:rsidRDefault="000C2498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Чехии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EB9" w:rsidRDefault="000C249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необходимые данные были взяты с </w:t>
      </w:r>
      <w:hyperlink r:id="rId9">
        <w:r w:rsidRPr="00856B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сайта</w:t>
        </w:r>
      </w:hyperlink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Чешского статистического управления с этой </w:t>
      </w:r>
      <w:hyperlink r:id="rId10">
        <w:r w:rsidRPr="00856B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страницы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1"/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частности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1.1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1.2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r:id="rId13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1.3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EB9" w:rsidRPr="00856B1E" w:rsidRDefault="000C2498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ВВП по использованию (по потреблению).</w:t>
      </w:r>
    </w:p>
    <w:p w:rsidR="005E3EB9" w:rsidRDefault="001574C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pict w14:anchorId="6ABB3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5.8pt;height:196.8pt">
            <v:imagedata r:id="rId14" o:title="gdp_expenditure"/>
          </v:shape>
        </w:pic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Видно, что в Чехии основным фактором формирования общего спроса является потребление домохозяйств (47.24%). Это характерно для развитых экономик, где высокий уровень жизни способствует значительной доле потребления в ВВП. При этом госсектор играет важную роль в поддержании социальной инфраструктуры (здравоохранение, образование). Также высокий уровень инвестиций указывает на модернизацию экономики и привлекательность для инвесторов.</w:t>
      </w:r>
    </w:p>
    <w:p w:rsidR="005E3EB9" w:rsidRPr="00856B1E" w:rsidRDefault="000C2498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ВВП по добавленной стоимости (по производству) </w:t>
      </w:r>
    </w:p>
    <w:p w:rsidR="005E3EB9" w:rsidRDefault="003721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E16FC">
          <v:shape id="_x0000_i1026" type="#_x0000_t75" style="width:337.2pt;height:203.4pt">
            <v:imagedata r:id="rId15" o:title="gdp_production"/>
          </v:shape>
        </w:pic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В Чехии производство</w:t>
      </w:r>
      <w:r w:rsidRPr="00856B1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(21.8%), государственные и социальные услуги</w:t>
      </w:r>
      <w:r w:rsidRPr="00856B1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(17.6%), недвижимость и бизнес-услуги</w:t>
      </w:r>
      <w:r w:rsidRPr="00856B1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(17.2%), торговля</w:t>
      </w:r>
      <w:r w:rsidRPr="00856B1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(11.4%) и информационные технологии и финансовые услуги</w:t>
      </w:r>
      <w:r w:rsidRPr="00856B1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(7.6%)</w:t>
      </w:r>
      <w:r w:rsidRPr="00856B1E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имеют наибольшую долю в добавленной стоимости.</w: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Видно, что основную долю занимают отрасли со средней (производство, строительство, транспорт, торговля) и высокой (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, финансы, недвижимость, деловые услуги) добавленной стоимостью. Причём отрасли с низкой добавленной стоимостью (сельское хозяйство, добыча полезных ископаемых) имеют небольшую долю.</w:t>
      </w:r>
    </w:p>
    <w:p w:rsidR="005E3EB9" w:rsidRPr="00856B1E" w:rsidRDefault="000C2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Экономика преимущественно ориентирована на услуги и промышленность, с низкой долей добывающих отраслей и сельского хозяйства. Такое распределение указывает в большей степени на развитую экономику с развитым промышленным сектором.</w:t>
      </w:r>
    </w:p>
    <w:p w:rsidR="005E3EB9" w:rsidRDefault="000C2498">
      <w:pPr>
        <w:pStyle w:val="2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ВВП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доходам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EB9" w:rsidRDefault="003721C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5D6FA4">
          <v:shape id="_x0000_i1027" type="#_x0000_t75" style="width:354.6pt;height:213.6pt">
            <v:imagedata r:id="rId16" o:title="gdp_income"/>
          </v:shape>
        </w:pic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Наибольший вклад в ВВП приходится на капитал (49.53%), немного опережая труд (42.87%). Высокий вклад капитала может указывать на развитую промышленность, значительные инвестиции в капитальные активы. Причём доля труда остается большой, что может быть связано с высокой производительностью труда и высокой оплатой человеческого труда.</w: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Доля капитала выше, чем в типичной развитой стране, но близка к верхней границе для развивающихся экономик. При этом доля труда ниже, чем в развитых странах, но выше, чем в многих развивающихся странах. То есть по этому показателю </w:t>
      </w:r>
      <w:sdt>
        <w:sdtPr>
          <w:tag w:val="goog_rdk_1"/>
          <w:id w:val="1320621233"/>
        </w:sdtPr>
        <w:sdtEndPr/>
        <w:sdtContent/>
      </w:sdt>
      <w:sdt>
        <w:sdtPr>
          <w:tag w:val="goog_rdk_2"/>
          <w:id w:val="166369039"/>
        </w:sdtPr>
        <w:sdtEndPr/>
        <w:sdtContent/>
      </w:sdt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Чехию можно отнести </w:t>
      </w:r>
      <w:sdt>
        <w:sdtPr>
          <w:tag w:val="goog_rdk_3"/>
          <w:id w:val="2063052704"/>
        </w:sdtPr>
        <w:sdtEndPr/>
        <w:sdtContent/>
      </w:sdt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к развитым странам.</w:t>
      </w:r>
    </w:p>
    <w:p w:rsidR="005E3EB9" w:rsidRDefault="000C2498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Теневая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экономика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основе </w:t>
      </w:r>
      <w:hyperlink r:id="rId17">
        <w:r w:rsidRPr="00856B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отчёта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5"/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сайта Всемирного банка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footnoteReference w:id="6"/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момент 2016 года размер теневой экономики Чехии оценивается в районе 19.4% от ВВП. Что достаточно велико по сравнению с развитыми странами, но ниже мирового уровня. </w: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Высокий уровень относительно развитых стран можно объяснить экономической трансформацией (переход от плана к рынку) и высоким уровнем налогов. При этом низкий уровень по сравнению с мировыми показателями можно объяснить интеграцией в ЕС и относительно эффективным государственным управлением.</w:t>
      </w:r>
    </w:p>
    <w:p w:rsidR="005E3EB9" w:rsidRDefault="000C2498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ВНД и ВРД.</w: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взяты с </w:t>
      </w:r>
      <w:hyperlink r:id="rId18">
        <w:r w:rsidRPr="00856B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сайта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7"/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Чешского статистического управления с этой </w:t>
      </w:r>
      <w:hyperlink r:id="rId19">
        <w:r w:rsidRPr="00856B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страницы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8"/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f4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E3EB9">
        <w:tc>
          <w:tcPr>
            <w:tcW w:w="4672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Показатель</w:t>
            </w:r>
            <w:proofErr w:type="spellEnd"/>
          </w:p>
        </w:tc>
        <w:tc>
          <w:tcPr>
            <w:tcW w:w="4673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ценах</w:t>
            </w:r>
            <w:proofErr w:type="spellEnd"/>
          </w:p>
        </w:tc>
      </w:tr>
      <w:tr w:rsidR="005E3EB9">
        <w:tc>
          <w:tcPr>
            <w:tcW w:w="4672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ВВП</w:t>
            </w:r>
          </w:p>
        </w:tc>
        <w:tc>
          <w:tcPr>
            <w:tcW w:w="4673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7618,528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млрд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чешских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крон</w:t>
            </w:r>
            <w:proofErr w:type="spellEnd"/>
          </w:p>
        </w:tc>
      </w:tr>
      <w:tr w:rsidR="005E3EB9">
        <w:tc>
          <w:tcPr>
            <w:tcW w:w="4672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ВНД</w:t>
            </w:r>
          </w:p>
        </w:tc>
        <w:tc>
          <w:tcPr>
            <w:tcW w:w="4673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7509,247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млрд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чешских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крон</w:t>
            </w:r>
            <w:proofErr w:type="spellEnd"/>
          </w:p>
        </w:tc>
      </w:tr>
      <w:tr w:rsidR="005E3EB9">
        <w:tc>
          <w:tcPr>
            <w:tcW w:w="4672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ВРД </w:t>
            </w:r>
          </w:p>
        </w:tc>
        <w:tc>
          <w:tcPr>
            <w:tcW w:w="4673" w:type="dxa"/>
          </w:tcPr>
          <w:p w:rsidR="005E3EB9" w:rsidRDefault="000C24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7433,302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млрд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чешских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крон</w:t>
            </w:r>
            <w:proofErr w:type="spellEnd"/>
          </w:p>
        </w:tc>
      </w:tr>
    </w:tbl>
    <w:p w:rsidR="005E3EB9" w:rsidRDefault="005E3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Видно, что ВРД меньше ВВП, причём ВРД/ВВП = 97,5687 %. Это связано с тем, что </w:t>
      </w:r>
      <w:sdt>
        <w:sdtPr>
          <w:tag w:val="goog_rdk_4"/>
          <w:id w:val="-1027708830"/>
        </w:sdtPr>
        <w:sdtEndPr/>
        <w:sdtContent/>
      </w:sdt>
      <w:sdt>
        <w:sdtPr>
          <w:tag w:val="goog_rdk_5"/>
          <w:id w:val="-705335170"/>
          <w:showingPlcHdr/>
        </w:sdtPr>
        <w:sdtEndPr/>
        <w:sdtContent>
          <w:r w:rsidR="00856B1E" w:rsidRPr="00856B1E">
            <w:rPr>
              <w:lang w:val="ru-RU"/>
            </w:rPr>
            <w:t xml:space="preserve">     </w:t>
          </w:r>
        </w:sdtContent>
      </w:sdt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tag w:val="goog_rdk_6"/>
          <w:id w:val="-544609014"/>
        </w:sdtPr>
        <w:sdtEndPr/>
        <w:sdtContent/>
      </w:sdt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Чехия выплачивает за границу больше доходов, чем получает из-за рубежа. Всё из-за высокой доли иностранного капитала в промышленности. В результате значительная часть прибыли уходит за границу в виде дивидендов иностранным инвесторам, а также процентов по кредитам.</w:t>
      </w:r>
    </w:p>
    <w:p w:rsidR="005E3EB9" w:rsidRDefault="000C2498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ИЧР.</w:t>
      </w:r>
    </w:p>
    <w:p w:rsidR="005E3EB9" w:rsidRDefault="000C249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Числа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ИЧР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взяты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anchor="/indicies/HDI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Human Development Reports (HDI)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9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график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сделан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помощью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сайта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1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World in Data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1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E3EB9" w:rsidRPr="003721CF" w:rsidRDefault="000C2498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114300" distB="114300" distL="114300" distR="114300">
            <wp:extent cx="4153853" cy="298421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298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721C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114300" distB="114300" distL="114300" distR="114300">
            <wp:extent cx="4153853" cy="2932131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3853" cy="29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2022 год ИЧР Чехии = 0.895, что соответствует странам с высоким уровнем этого показателя (в обозначениях </w:t>
      </w:r>
      <w:r>
        <w:rPr>
          <w:rFonts w:ascii="Times New Roman" w:eastAsia="Times New Roman" w:hAnsi="Times New Roman" w:cs="Times New Roman"/>
          <w:sz w:val="24"/>
          <w:szCs w:val="24"/>
        </w:rPr>
        <w:t>Human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Reports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это </w:t>
      </w:r>
      <w:r>
        <w:rPr>
          <w:rFonts w:ascii="Times New Roman" w:eastAsia="Times New Roman" w:hAnsi="Times New Roman" w:cs="Times New Roman"/>
          <w:sz w:val="24"/>
          <w:szCs w:val="24"/>
        </w:rPr>
        <w:t>Very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Причём из графика видно, что Чехия отстаёт от других стран с аналогичным уровнем </w:t>
      </w:r>
      <w:proofErr w:type="spellStart"/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подушевого</w:t>
      </w:r>
      <w:proofErr w:type="spellEnd"/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ВВП: Израиль (</w:t>
      </w:r>
      <w:r w:rsidRPr="00856B1E">
        <w:rPr>
          <w:rFonts w:ascii="Times New Roman" w:eastAsia="Times New Roman" w:hAnsi="Times New Roman" w:cs="Times New Roman"/>
          <w:color w:val="1A1A1A"/>
          <w:sz w:val="24"/>
          <w:szCs w:val="24"/>
          <w:highlight w:val="white"/>
          <w:lang w:val="ru-RU"/>
        </w:rPr>
        <w:t>0.915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), Новую Зеландию (0.939), Южную Корею (0.92</w:t>
      </w:r>
      <w:r w:rsidR="006D695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9). Но при этого Чехия обгоняет, 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например, Польшу (0.881).</w:t>
      </w:r>
    </w:p>
    <w:p w:rsidR="005E3EB9" w:rsidRPr="006D695A" w:rsidRDefault="000C2498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D695A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ВРД в реальном выражении</w:t>
      </w:r>
    </w:p>
    <w:p w:rsidR="005E3EB9" w:rsidRPr="006D695A" w:rsidRDefault="003721CF">
      <w:pPr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BAC463">
          <v:shape id="_x0000_i1028" type="#_x0000_t75" style="width:333.6pt;height:201pt">
            <v:imagedata r:id="rId24" o:title="gni"/>
          </v:shape>
        </w:pic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Данные взяты с </w:t>
      </w:r>
      <w:hyperlink r:id="rId25">
        <w:r w:rsidRPr="00856B1E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ru-RU"/>
          </w:rPr>
          <w:t>сайта</w:t>
        </w:r>
      </w:hyperlink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  <w:vertAlign w:val="superscript"/>
        </w:rPr>
        <w:footnoteReference w:id="11"/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Всемирного банка.</w:t>
      </w:r>
    </w:p>
    <w:p w:rsidR="005E3EB9" w:rsidRPr="00856B1E" w:rsidRDefault="000C249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Из графика видно, что в настоящий момент в классификации Всемирного банка Чехию можно отнести к странам с высоким доходом (</w:t>
      </w:r>
      <w:r>
        <w:rPr>
          <w:rFonts w:ascii="Times New Roman" w:eastAsia="Times New Roman" w:hAnsi="Times New Roman" w:cs="Times New Roman"/>
          <w:sz w:val="24"/>
          <w:szCs w:val="24"/>
        </w:rPr>
        <w:t>High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income</w:t>
      </w:r>
      <w:r w:rsidRPr="00856B1E">
        <w:rPr>
          <w:rFonts w:ascii="Times New Roman" w:eastAsia="Times New Roman" w:hAnsi="Times New Roman" w:cs="Times New Roman"/>
          <w:sz w:val="24"/>
          <w:szCs w:val="24"/>
          <w:lang w:val="ru-RU"/>
        </w:rPr>
        <w:t>). Причём видно, что за весь период наблюдений с 1995 по 2022 годы страна стала богаче почти в два раза.</w:t>
      </w:r>
    </w:p>
    <w:sectPr w:rsidR="005E3EB9" w:rsidRPr="00856B1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4C4" w:rsidRDefault="001574C4">
      <w:pPr>
        <w:spacing w:after="0" w:line="240" w:lineRule="auto"/>
      </w:pPr>
      <w:r>
        <w:separator/>
      </w:r>
    </w:p>
  </w:endnote>
  <w:endnote w:type="continuationSeparator" w:id="0">
    <w:p w:rsidR="001574C4" w:rsidRDefault="0015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4C4" w:rsidRDefault="001574C4">
      <w:pPr>
        <w:spacing w:after="0" w:line="240" w:lineRule="auto"/>
      </w:pPr>
      <w:r>
        <w:separator/>
      </w:r>
    </w:p>
  </w:footnote>
  <w:footnote w:type="continuationSeparator" w:id="0">
    <w:p w:rsidR="001574C4" w:rsidRDefault="001574C4">
      <w:pPr>
        <w:spacing w:after="0" w:line="240" w:lineRule="auto"/>
      </w:pPr>
      <w:r>
        <w:continuationSeparator/>
      </w:r>
    </w:p>
  </w:footnote>
  <w:footnote w:id="1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https://apl.czso.cz/pll/rocenka/rocenka.indexnu?mylang=EN</w:t>
      </w:r>
    </w:p>
  </w:footnote>
  <w:footnote w:id="2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https://apl.czso.cz/pll/rocenka/rocenkavyber.makroek_vydaj_en</w:t>
      </w:r>
    </w:p>
  </w:footnote>
  <w:footnote w:id="3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https://apl.czso.cz/pll/rocenka/rocenkavyber.so_en</w:t>
      </w:r>
    </w:p>
  </w:footnote>
  <w:footnote w:id="4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https://apl.czso.cz/pll/rocenka/rocenkavyber.makroek_duchodm_en</w:t>
      </w:r>
    </w:p>
  </w:footnote>
  <w:footnote w:id="5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https://www.imf.org/en/Publications/WP/Issues/2019/12/13/Explaining-the-Shadow-Economy-in-Europe-Size-Causes-and-Policy-Options-48821</w:t>
      </w:r>
    </w:p>
  </w:footnote>
  <w:footnote w:id="6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Kelmanson</w:t>
      </w:r>
      <w:proofErr w:type="spellEnd"/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M. B. et al. Explaining the shadow economy in Europe: size, causes and policy options. – International Monetary Fund, 2019.</w:t>
      </w:r>
    </w:p>
  </w:footnote>
  <w:footnote w:id="7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https://csu.gov.cz/</w:t>
      </w:r>
    </w:p>
  </w:footnote>
  <w:footnote w:id="8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https://apl.czso.cz/pll/rocenka/rocenkavyber.makroek_duchod_en</w:t>
      </w:r>
    </w:p>
  </w:footnote>
  <w:footnote w:id="9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https://hdr.undp.org/data-center/human-development-index#/indicies/HDI</w:t>
      </w:r>
    </w:p>
  </w:footnote>
  <w:footnote w:id="10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https://ourworldindata.org/grapher/human-development-index-vs-gdp-per-capita</w:t>
      </w:r>
    </w:p>
  </w:footnote>
  <w:footnote w:id="11">
    <w:p w:rsidR="005E3EB9" w:rsidRDefault="000C2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 xml:space="preserve"> https://data.worldbank.org/indicator/NY.GNP.PCAP.PP.KD?locations=CZ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10946"/>
    <w:multiLevelType w:val="multilevel"/>
    <w:tmpl w:val="F842951C"/>
    <w:lvl w:ilvl="0">
      <w:start w:val="1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)"/>
      <w:lvlJc w:val="left"/>
      <w:pPr>
        <w:ind w:left="1080" w:hanging="720"/>
      </w:pPr>
    </w:lvl>
    <w:lvl w:ilvl="2">
      <w:start w:val="1"/>
      <w:numFmt w:val="decimal"/>
      <w:lvlText w:val="%1.%2)%3."/>
      <w:lvlJc w:val="left"/>
      <w:pPr>
        <w:ind w:left="1440" w:hanging="720"/>
      </w:pPr>
    </w:lvl>
    <w:lvl w:ilvl="3">
      <w:start w:val="1"/>
      <w:numFmt w:val="decimal"/>
      <w:lvlText w:val="%1.%2)%3.%4."/>
      <w:lvlJc w:val="left"/>
      <w:pPr>
        <w:ind w:left="2160" w:hanging="1080"/>
      </w:pPr>
    </w:lvl>
    <w:lvl w:ilvl="4">
      <w:start w:val="1"/>
      <w:numFmt w:val="decimal"/>
      <w:lvlText w:val="%1.%2)%3.%4.%5."/>
      <w:lvlJc w:val="left"/>
      <w:pPr>
        <w:ind w:left="2520" w:hanging="1080"/>
      </w:pPr>
    </w:lvl>
    <w:lvl w:ilvl="5">
      <w:start w:val="1"/>
      <w:numFmt w:val="decimal"/>
      <w:lvlText w:val="%1.%2)%3.%4.%5.%6."/>
      <w:lvlJc w:val="left"/>
      <w:pPr>
        <w:ind w:left="3240" w:hanging="1440"/>
      </w:pPr>
    </w:lvl>
    <w:lvl w:ilvl="6">
      <w:start w:val="1"/>
      <w:numFmt w:val="decimal"/>
      <w:lvlText w:val="%1.%2)%3.%4.%5.%6.%7."/>
      <w:lvlJc w:val="left"/>
      <w:pPr>
        <w:ind w:left="3600" w:hanging="1440"/>
      </w:pPr>
    </w:lvl>
    <w:lvl w:ilvl="7">
      <w:start w:val="1"/>
      <w:numFmt w:val="decimal"/>
      <w:lvlText w:val="%1.%2)%3.%4.%5.%6.%7.%8."/>
      <w:lvlJc w:val="left"/>
      <w:pPr>
        <w:ind w:left="4320" w:hanging="1800"/>
      </w:pPr>
    </w:lvl>
    <w:lvl w:ilvl="8">
      <w:start w:val="1"/>
      <w:numFmt w:val="decimal"/>
      <w:lvlText w:val="%1.%2)%3.%4.%5.%6.%7.%8.%9."/>
      <w:lvlJc w:val="left"/>
      <w:pPr>
        <w:ind w:left="4680" w:hanging="1800"/>
      </w:pPr>
    </w:lvl>
  </w:abstractNum>
  <w:abstractNum w:abstractNumId="1" w15:restartNumberingAfterBreak="0">
    <w:nsid w:val="7D3E7D8A"/>
    <w:multiLevelType w:val="multilevel"/>
    <w:tmpl w:val="B8E021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B9"/>
    <w:rsid w:val="000C2498"/>
    <w:rsid w:val="001574C4"/>
    <w:rsid w:val="003721CF"/>
    <w:rsid w:val="005E3EB9"/>
    <w:rsid w:val="006D695A"/>
    <w:rsid w:val="0085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2B1EB2-6E04-42EC-BEB3-EE6A7CC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185"/>
    <w:rPr>
      <w:rFonts w:eastAsiaTheme="minorEastAsia"/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372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2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5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3721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3721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paragraph" w:styleId="a4">
    <w:name w:val="List Paragraph"/>
    <w:basedOn w:val="a"/>
    <w:uiPriority w:val="34"/>
    <w:qFormat/>
    <w:rsid w:val="0037218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72185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2E32E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57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character" w:customStyle="1" w:styleId="ezkurwreuab5ozgtqnkl">
    <w:name w:val="ezkurwreuab5ozgtqnkl"/>
    <w:basedOn w:val="a0"/>
    <w:rsid w:val="00AD50B1"/>
  </w:style>
  <w:style w:type="character" w:styleId="a7">
    <w:name w:val="FollowedHyperlink"/>
    <w:basedOn w:val="a0"/>
    <w:uiPriority w:val="99"/>
    <w:semiHidden/>
    <w:unhideWhenUsed/>
    <w:rsid w:val="006F4756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69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5202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52026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52026"/>
    <w:rPr>
      <w:rFonts w:eastAsiaTheme="minorEastAsia"/>
      <w:sz w:val="20"/>
      <w:szCs w:val="20"/>
      <w:lang w:val="en-US" w:eastAsia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5202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52026"/>
    <w:rPr>
      <w:rFonts w:eastAsiaTheme="minorEastAsia"/>
      <w:b/>
      <w:bCs/>
      <w:sz w:val="20"/>
      <w:szCs w:val="20"/>
      <w:lang w:val="en-US" w:eastAsia="zh-CN"/>
    </w:rPr>
  </w:style>
  <w:style w:type="paragraph" w:styleId="ae">
    <w:name w:val="Balloon Text"/>
    <w:basedOn w:val="a"/>
    <w:link w:val="af"/>
    <w:uiPriority w:val="99"/>
    <w:semiHidden/>
    <w:unhideWhenUsed/>
    <w:rsid w:val="00252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52026"/>
    <w:rPr>
      <w:rFonts w:ascii="Segoe UI" w:eastAsiaTheme="minorEastAsia" w:hAnsi="Segoe UI" w:cs="Segoe UI"/>
      <w:sz w:val="18"/>
      <w:szCs w:val="18"/>
      <w:lang w:val="en-US" w:eastAsia="zh-CN"/>
    </w:rPr>
  </w:style>
  <w:style w:type="paragraph" w:styleId="af0">
    <w:name w:val="footnote text"/>
    <w:basedOn w:val="a"/>
    <w:link w:val="af1"/>
    <w:uiPriority w:val="99"/>
    <w:semiHidden/>
    <w:unhideWhenUsed/>
    <w:rsid w:val="00252026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252026"/>
    <w:rPr>
      <w:rFonts w:eastAsiaTheme="minorEastAsia"/>
      <w:sz w:val="20"/>
      <w:szCs w:val="20"/>
      <w:lang w:val="en-US" w:eastAsia="zh-CN"/>
    </w:rPr>
  </w:style>
  <w:style w:type="character" w:styleId="af2">
    <w:name w:val="footnote reference"/>
    <w:basedOn w:val="a0"/>
    <w:uiPriority w:val="99"/>
    <w:semiHidden/>
    <w:unhideWhenUsed/>
    <w:rsid w:val="00252026"/>
    <w:rPr>
      <w:vertAlign w:val="superscript"/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pl.czso.cz/pll/rocenka/rocenkavyber.makroek_duchodm_en" TargetMode="External"/><Relationship Id="rId18" Type="http://schemas.openxmlformats.org/officeDocument/2006/relationships/hyperlink" Target="https://csu.gov.cz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ourworldindata.org/grapher/human-development-index-vs-gdp-per-capita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apl.czso.cz/pll/rocenka/rocenkavyber.so_en" TargetMode="External"/><Relationship Id="rId17" Type="http://schemas.openxmlformats.org/officeDocument/2006/relationships/hyperlink" Target="https://www.imf.org/en/Publications/WP/Issues/2019/12/13/Explaining-the-Shadow-Economy-in-Europe-Size-Causes-and-Policy-Options-48821" TargetMode="External"/><Relationship Id="rId25" Type="http://schemas.openxmlformats.org/officeDocument/2006/relationships/hyperlink" Target="https://data.worldbank.org/indicator/NY.GNP.PCAP.PP.KD?locations=CZ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hdr.undp.org/data-center/human-development-inde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pl.czso.cz/pll/rocenka/rocenkavyber.makroek_vydaj_en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10" Type="http://schemas.openxmlformats.org/officeDocument/2006/relationships/hyperlink" Target="https://apl.czso.cz/pll/rocenka/rocenka.indexnu?mylang=EN" TargetMode="External"/><Relationship Id="rId19" Type="http://schemas.openxmlformats.org/officeDocument/2006/relationships/hyperlink" Target="https://apl.czso.cz/pll/rocenka/rocenkavyber.makroek_duchod_en" TargetMode="External"/><Relationship Id="rId4" Type="http://schemas.openxmlformats.org/officeDocument/2006/relationships/styles" Target="styles.xml"/><Relationship Id="rId9" Type="http://schemas.openxmlformats.org/officeDocument/2006/relationships/hyperlink" Target="https://csu.gov.cz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6NEpahYxXEjDA5MljjYTp2srQ==">CgMxLjAaJwoBMBIiCiAIBCocCgtBQUFCZXpVRUx1WRAIGgtBQUFCZXpVRUx1WRonCgExEiIKIAgEKhwKC0FBQUJlelVFTHRvEAgaC0FBQUJlelVFTHRvGicKATISIgogCAQqHAoLQUFBQmV6VUVMdG8QCBoLQUFBQmZKZzlkZlkaJwoBMxIiCiAIBCocCgtBQUFCZkpnOWRmMBAIGgtBQUFCZkpnOWRmMBonCgE0EiIKIAgEKhwKC0FBQUJlelVFTHR3EAgaC0FBQUJlelVFTHR3GicKATUSIgogCAQqHAoLQUFBQmV6VUVMdHcQCBoLQUFBQmZKZzlkZlUaJwoBNhIiCiAIBCocCgtBQUFCZkpnOWRmOBAIGgtBQUFCZkpnOWRmOBonCgE3EiIKIAgEKhwKC0FBQUJlelVFTHQwEAgaC0FBQUJlelVFTHQwGicKATgSIgogCAQqHAoLQUFBQmV6VUVMdDAQCBoLQUFBQmZKZzlkZnMaJwoBORIiCiAIBCocCgtBQUFCZkpnOWRnQRAIGgtBQUFCZkpnOWRnQSK9BgoLQUFBQmZKZzlkZjgSjQYKC0FBQUJmSmc5ZGY4EgtBQUFCZkpnOWRmOBo8Cgl0ZXh0L2h0bWwSL9C/0YDQtdC00LvQsNCz0LDQtdC80L7QtSDQuNGB0L/RgNCw0LLQu9C10L3QuNC1Ij0KCnRleHQvcGxhaW4SL9C/0YDQtdC00LvQsNCz0LDQtdC80L7QtSDQuNGB0L/RgNCw0LLQu9C10L3QuNC1KhsiFTEwNjI3NzgzODU3MjgxODA1NTA3MCgAOAAwhM/ms9YyOITP5rPWMkr3AwoKdGV4dC9wbGFpbhLoA9Cn0LXRhdC40Y8g0LLRi9C/0LvQsNGH0LjQstCw0LXRgiDQt9CwINCz0YDQsNC90LjRhtGDINCx0L7Qu9GM0YjQtSDQtNC+0YXQvtC00L7Qsiwg0YfQtdC8INC/0L7Qu9GD0YfQsNC10YIg0LjQty3Qt9CwINGA0YPQsdC10LbQsC4g0JLRgdGRINC40Lct0LfQsCDQstGL0YHQvtC60L7QuSDQtNC+0LvQuCDQuNC90L7RgdGC0YDQsNC90L3QvtCz0L4g0LrQsNC/0LjRgtCw0LvQsCDQsiDQv9GA0L7QvNGL0YjQu9C10L3QvdC+0YHRgtC4LiDQkiDRgNC10LfRg9C70YzRgtCw0YLQtSDQt9C90LDRh9C40YLQtdC70YzQvdCw0Y8g0YfQsNGB0YLRjCDQv9GA0LjQsdGL0LvQuCDRg9GF0L7QtNC40YIg0LfQsCDQs9GA0LDQvdC40YbRgyDQsiDQstC40LTQtSDQtNC40LLQuNC00LXQvdC00L7QsiDQuNC90L7RgdGC0YDQsNC90L3Ri9C8INC40L3QstC10YHRgtC+0YDQsNC8LCDQsCDRgtCw0LrQttC1INC/0YDQvtGG0LXQvdGC0L7QsiDQv9C+INC60YDQtdC00LjRgtCw0LwuWgxtYm9hZmd0cmY3MDdyAiAAeACaAQYIABAAGACqATESL9C/0YDQtdC00LvQsNCz0LDQtdC80L7QtSDQuNGB0L/RgNCw0LLQu9C10L3QuNC1GITP5rPWMiCEz+az1jJCEGtpeC5meGp2YzhmcDZhcnAi+wUKC0FBQUJlelVFTHQwEskFCgtBQUFCZXpVRUx0MBILQUFBQmV6VUVMdDAacwoJdGV4dC9odG1sEmbQryDQsdGLINC90LUg0YHQutCw0LfQsNC7INGH0YLQviDQvtCx0LPQvtC9INCa0YPQstC10LnRgtCwINGN0YLQviDQsdC+0LvRjNGI0L7QuSDQv9C+0LrQsNC30LDRgtC10LvRjCkidAoKdGV4dC9wbGFpbhJm0K8g0LHRiyDQvdC1INGB0LrQsNC30LDQuyDRh9GC0L4g0L7QsdCz0L7QvSDQmtGD0LLQtdC50YLQsCDRjdGC0L4g0LHQvtC70YzRiNC+0Lkg0L/QvtC60LDQt9Cw0YLQtdC70YwpKhsiFTEwNTA4NDI4NDEzNjk4MDE3NzY1NSgAOAAwhvHarNYyON7b4rPWMkLjAQoLQUFBQmZKZzlkZnMSC0FBQUJlelVFTHQwGiwKCXRleHQvaHRtbBIf0JjRgdC/0YDQsNCy0LjQuyDQvdC10LTQvtGH0ZHRgiItCgp0ZXh0L3BsYWluEh/QmNGB0L/RgNCw0LLQuNC7INC90LXQtNC+0YfRkdGCKhsiFTEwNjI3NzgzODU3MjgxODA1NTA3MCgAOAAw3tvis9YyON7b4rPWMloMczB6NnRlNmI4MjE2cgIgAHgAmgEGCAAQABgAqgEhEh/QmNGB0L/RgNCw0LLQuNC7INC90LXQtNC+0YfRkdGCSiMKCnRleHQvcGxhaW4SFdCa0YPQstC10LnRgiAoMC44NDcpLloMb3kzcXVpMTg4OWx6cgIgAHgAmgEGCAAQABgAqgFoEmbQryDQsdGLINC90LUg0YHQutCw0LfQsNC7INGH0YLQviDQvtCx0LPQvtC9INCa0YPQstC10LnRgtCwINGN0YLQviDQsdC+0LvRjNGI0L7QuSDQv9C+0LrQsNC30LDRgtC10LvRjCmwAQC4AQAYhvHarNYyIN7b4rPWMjAAQhBraXgueGJkYTNsaGQ3cmIyIsMNCgtBQUFCZXpVRUx0bxKRDQoLQUFBQmV6VUVMdG8SC0FBQUJlelVFTHRvGooDCgl0ZXh0L2h0bWwS/ALQldGB0LvQuCDRgdC+0LLRgdC10Lwg0YHRgtGA0L7Qs9C+INCz0L7QstC+0YDQuNGC0YwsINGC0L4g0YHQvtC00LXRgNC20LDRgtC10LvRjNC90L4gJnF1b3Q70YDQsNC30LLQuNCy0LDRjtGJ0LjQtdGB0Y8mcXVvdDsg0LIg0L3QvtCy0L7Rj9C30LUg0Y3QutC+0L3QvtC80LjRgdGC0L7QsiDQvtC30L3QsNGH0LDRjtGCINC/0L7Qu9GD0LHQtdC00L3Ri9C1LiDQp9C10YXQuNGPINC90LUg0YLQsNC60LDRjyDRgNCw0LfQstC40YLQsNGPLCDQutCw0Log0YPRgdC70L7QstC90YvQtSDQodCo0JAg0Lgg0J3QvtGA0LLQtdCz0LjRjywg0L3QviDQv9C+INC80LjRgNC+0LLRi9C8INC80LXRgNC60LDQvCDQvtC90LAg0YPQttC1INC00LDQstC90L4g0YDQsNC30LLQuNGC0LDRjyKBAwoKdGV4dC9wbGFpbhLyAtCV0YHQu9C4INGB0L7QstGB0LXQvCDRgdGC0YDQvtCz0L4g0LPQvtCy0L7RgNC40YLRjCwg0YLQviDRgdC+0LTQtdGA0LbQsNGC0LXQu9GM0L3QviAi0YDQsNC30LLQuNCy0LDRjtGJ0LjQtdGB0Y8iINCyINC90L7QstC+0Y/Qt9C1INGN0LrQvtC90L7QvNC40YHRgtC+0LIg0L7Qt9C90LDRh9Cw0Y7RgiDQv9C+0LvRg9Cx0LXQtNC90YvQtS4g0KfQtdGF0LjRjyDQvdC1INGC0LDQutCw0Y8g0YDQsNC30LLQuNGC0LDRjywg0LrQsNC6INGD0YHQu9C+0LLQvdGL0LUg0KHQqNCQINC4INCd0L7RgNCy0LXQs9C40Y8sINC90L4g0L/QviDQvNC40YDQvtCy0YvQvCDQvNC10YDQutCw0Lwg0L7QvdCwINGD0LbQtSDQtNCw0LLQvdC+INGA0LDQt9Cy0LjRgtCw0Y8qGyIVMTA1MDg0Mjg0MTM2OTgwMTc3NjU1KAA4ADD77dGs1jI4soTVs9YyQuMBCgtBQUFCZkpnOWRmWRILQUFBQmV6VUVMdG8aLAoJdGV4dC9odG1sEh/QmNGB0L/RgNCw0LLQuNC7INC90LXQtNC+0YfRkdGCIi0KCnRleHQvcGxhaW4SH9CY0YHQv9GA0LDQstC40Lsg0L3QtdC00L7Rh9GR0YIqGyIVMTA2Mjc3ODM4NTcyODE4MDU1MDcwKAA4ADCyhNWz1jI4soTVs9YyWgxqbnl6ZTA1N3I4eTdyAiAAeACaAQYIABAAGACqASESH9CY0YHQv9GA0LDQstC40Lsg0L3QtdC00L7Rh9GR0YJKrAEKCnRleHQvcGxhaW4SnQHQp9C10YXQuNGOINC80L7QttC90L4g0L7RgtC90LXRgdGC0Lgg0Log0YHRgtGA0LDQvdC1LCDQv9C10YDQtdGF0L7QtNGP0YnQtdC5INC40Lcg0YDQsNC30YDRj9C00LAg0YDQsNC30LLQuNCy0LDRjtGJ0LjRhdGB0Y8g0LIg0YDQsNC30YDRj9C0INGA0LDQt9Cy0LjRgtC+0LkuWgx5Zmo2eXNsdGFkMW9yAiAAeACaAQYIABAAGACqAf8CEvwC0JXRgdC70Lgg0YHQvtCy0YHQtdC8INGB0YLRgNC+0LPQviDQs9C+0LLQvtGA0LjRgtGMLCDRgtC+INGB0L7QtNC10YDQttCw0YLQtdC70YzQvdC+ICZxdW90O9GA0LDQt9Cy0LjQstCw0Y7RidC40LXRgdGPJnF1b3Q7INCyINC90L7QstC+0Y/Qt9C1INGN0LrQvtC90L7QvNC40YHRgtC+0LIg0L7Qt9C90LDRh9Cw0Y7RgiDQv9C+0LvRg9Cx0LXQtNC90YvQtS4g0KfQtdGF0LjRjyDQvdC1INGC0LDQutCw0Y8g0YDQsNC30LLQuNGC0LDRjywg0LrQsNC6INGD0YHQu9C+0LLQvdGL0LUg0KHQqNCQINC4INCd0L7RgNCy0LXQs9C40Y8sINC90L4g0L/QviDQvNC40YDQvtCy0YvQvCDQvNC10YDQutCw0Lwg0L7QvdCwINGD0LbQtSDQtNCw0LLQvdC+INGA0LDQt9Cy0LjRgtCw0Y+wAQC4AQAY++3RrNYyILKE1bPWMjAAQhBraXguNWFqdWc5NXJsZ2I3IvoCCgtBQUFCZkpnOWRnQRLKAgoLQUFBQmZKZzlkZ0ESC0FBQUJmSmc5ZGdBGjwKCXRleHQvaHRtbBIv0L/RgNC10LTQu9Cw0LPQsNC10LzQvtC1INC40YHQv9GA0LDQstC70LXQvdC40LUiPQoKdGV4dC9wbGFpbhIv0L/RgNC10LTQu9Cw0LPQsNC10LzQvtC1INC40YHQv9GA0LDQstC70LXQvdC40LUqGyIVMTA2Mjc3ODM4NTcyODE4MDU1MDcwKAA4ADCXguez1jI4l4Lns9YySjUKCnRleHQvcGxhaW4SJ9C90LDQv9GA0LjQvNC10YAsINCf0L7Qu9GM0YjRgyAoMC44ODEpLloMaGM2eG1paDF0cHhwcgIgAHgAmgEGCAAQABgAqgExEi/Qv9GA0LXQtNC70LDQs9Cw0LXQvNC+0LUg0LjRgdC/0YDQsNCy0LvQtdC90LjQtRiXguez1jIgl4Lns9YyQhBraXguMzZsZGRxdTZ2c2trIvUCCgtBQUFCZkpnOWRmMBLGAgoLQUFBQmZKZzlkZjASC0FBQUJmSmc5ZGYwGjwKCXRleHQvaHRtbBIv0L/RgNC10LTQu9Cw0LPQsNC10LzQvtC1INC40YHQv9GA0LDQstC70LXQvdC40LUiPQoKdGV4dC9wbGFpbhIv0L/RgNC10LTQu9Cw0LPQsNC10LzQvtC1INC40YHQv9GA0LDQstC70LXQvdC40LUqGyIVMTA2Mjc3ODM4NTcyODE4MDU1MDcwKAA4ADDvkeaz1jI475Hms9YySjEKCnRleHQvcGxhaW4SI9C6INGA0LDQt9Cy0LjRgtGL0Lwg0YHRgtGA0LDQvdCw0LwuWgwzcW8zMjNlejc2NWNyAiAAeACaAQYIABAAGACqATESL9C/0YDQtdC00LvQsNCz0LDQtdC80L7QtSDQuNGB0L/RgNCw0LLQu9C10L3QuNC1GO+R5rPWMiDvkeaz1jJCD2tpeC5uOTQ0bHAxdmo0NyK2BAoLQUFBQmV6VUVMdVkShAQKC0FBQUJlelVFTHVZEgtBQUFCZXpVRUx1WRpdCgl0ZXh0L2h0bWwSUNCU0L7QsdGA0L7RgtC90LDRjyDQuCDRgdC+0LTQtdGA0LbQsNGC0LXQu9GM0L3QsNGPINGA0LDQsdC+0YLQsCwg0YHQv9Cw0YHQuNCx0L4hIl4KCnRleHQvcGxhaW4SUNCU0L7QsdGA0L7RgtC90LDRjyDQuCDRgdC+0LTQtdGA0LbQsNGC0LXQu9GM0L3QsNGPINGA0LDQsdC+0YLQsCwg0YHQv9Cw0YHQuNCx0L4hKhsiFTEwNTA4NDI4NDEzNjk4MDE3NzY1NSgAOAAwnImYrdYyOJyJmK3WMkqFAQoKdGV4dC9wbGFpbhJ30KLQtdC80LAg0YDQsNCx0L7RgtGLOiDQkNC90LDQu9C40Lcg0Y3QutC+0L3QvtC80LjQutC4INCn0LXRhdC40Lgg0YHQvtCz0LvQsNGB0L3QviDRgNCw0LfQu9C40YfQvdGL0Lwg0L/QvtC00YXQvtC00LDQvC5aDGVvOHRxeHE5b2t6eHICIAB4AJoBBggAEAAYAKoBUhJQ0JTQvtCx0YDQvtGC0L3QsNGPINC4INGB0L7QtNC10YDQttCw0YLQtdC70YzQvdCw0Y8g0YDQsNCx0L7RgtCwLCDRgdC/0LDRgdC40LHQviGwAQC4AQAYnImYrdYyIJyJmK3WMjAAQhBraXgudHUwb2Y5bGQzaHRmItsKCgtBQUFCZXpVRUx0dxKqCgoLQUFBQmV6VUVMdHcSC0FBQUJlelVFTHR3Gu8BCgl0ZXh0L2h0bWwS4QHQn9C+0LTRg9C80LDQudGC0LUsINC60LDQuiDRgdCy0Y/Qt9Cw0L0g0YHQtdC60YLQvtGAINC/0YDQvtC80YvRiNC70LXQvdC90L7RgdGC0Lgg0Lgg0LLRi9C/0LvQsNGC0YMg0LTQvtGF0L7QtNC+0LIg0LfQsCDQs9GA0LDQvdC40YbRgy4g0JTRg9C80LDRjiwg0LfQtNC10YHRjCDQvdC1INGB0L7QstGB0LXQvCDQl9CfINC40L3QvtGB0YLRgNCw0L3QvdGL0Lwg0YDQsNCx0L7RgtC90LjQutCw0Lwi8AEKCnRleHQvcGxhaW4S4QHQn9C+0LTRg9C80LDQudGC0LUsINC60LDQuiDRgdCy0Y/Qt9Cw0L0g0YHQtdC60YLQvtGAINC/0YDQvtC80YvRiNC70LXQvdC90L7RgdGC0Lgg0Lgg0LLRi9C/0LvQsNGC0YMg0LTQvtGF0L7QtNC+0LIg0LfQsCDQs9GA0LDQvdC40YbRgy4g0JTRg9C80LDRjiwg0LfQtNC10YHRjCDQvdC1INGB0L7QstGB0LXQvCDQl9CfINC40L3QvtGB0YLRgNCw0L3QvdGL0Lwg0YDQsNCx0L7RgtC90LjQutCw0LwqGyIVMTA1MDg0Mjg0MTM2OTgwMTc3NjU1KAA4ADDg4Nes1jI44srUs9YyQuMBCgtBQUFCZkpnOWRmVRILQUFBQmV6VUVMdHcaLAoJdGV4dC9odG1sEh/QmNGB0L/RgNCw0LLQuNC7INC90LXQtNC+0YfRkdGCIi0KCnRleHQvcGxhaW4SH9CY0YHQv9GA0LDQstC40Lsg0L3QtdC00L7Rh9GR0YIqGyIVMTA2Mjc3ODM4NTcyODE4MDU1MDcwKAA4ADDiytSz1jI44srUs9YyWgw4cGtlYzVzNHFyeDZyAiAAeACaAQYIABAAGACqASESH9CY0YHQv9GA0LDQstC40Lsg0L3QtdC00L7Rh9GR0YJKjAIKCnRleHQvcGxhaW4S/QHQp9C10YXQuNGPINCy0YvQv9C70LDRh9C40LLQsNC10YIg0LfQsCDQs9GA0LDQvdC40YbRgyDQsdC+0LvRjNGI0LUg0LTQvtGF0L7QtNC+0LIgKNC30LDRgNC/0LvQsNGC0Ysg0LjQvdC+0YHRgtGA0LDQvdC90YvQvCDRgNCw0LHQvtGC0L3QuNC60LDQvCwg0L/RgNC+0YbQtdC90YLRiyDQv9C+INC60YDQtdC00LjRgtCw0LwsINC00LjQstC40LTQtdC90LTRiyksINGH0LXQvCDQv9C+0LvRg9GH0LDQtdGCINC40Lct0LfQsCDRgNGD0LHQtdC20LAuWgxzZWx5ZGFzODNzZWhyAiAAeACaAQYIABAAGACqAeQBEuEB0J/QvtC00YPQvNCw0LnRgtC1LCDQutCw0Log0YHQstGP0LfQsNC9INGB0LXQutGC0L7RgCDQv9GA0L7QvNGL0YjQu9C10L3QvdC+0YHRgtC4INC4INCy0YvQv9C70LDRgtGDINC00L7RhdC+0LTQvtCyINC30LAg0LPRgNCw0L3QuNGG0YMuINCU0YPQvNCw0Y4sINC30LTQtdGB0Ywg0L3QtSDRgdC+0LLRgdC10Lwg0JfQnyDQuNC90L7RgdGC0YDQsNC90L3Ri9C8INGA0LDQsdC+0YLQvdC40LrQsNC8sAEAuAEAGODg16zWMiDiytSz1jIwAEIPa2l4LnpkZzEzcHhjYno5MghoLmdqZGd4czgAciExQkR1UEVWb0FQSmh0YVdOd2R3elU0QXlCbGZSbGJZS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EE1DA2-1768-4E6A-8493-0B3B3D2CB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Филиппов</dc:creator>
  <cp:lastModifiedBy>Данил Филиппов</cp:lastModifiedBy>
  <cp:revision>4</cp:revision>
  <dcterms:created xsi:type="dcterms:W3CDTF">2025-02-25T12:00:00Z</dcterms:created>
  <dcterms:modified xsi:type="dcterms:W3CDTF">2025-03-21T08:06:00Z</dcterms:modified>
</cp:coreProperties>
</file>