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ewh6odpu7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Pantalla por stakeholder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si alguna se ve cortado no importa, adjunto un html (que hay que mirar obviamente)</w:t>
      </w:r>
    </w:p>
    <w:p w:rsidR="00000000" w:rsidDel="00000000" w:rsidP="00000000" w:rsidRDefault="00000000" w:rsidRPr="00000000" w14:paraId="00000004">
      <w:pPr>
        <w:spacing w:after="0" w:before="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MRR significa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</w:t>
      </w:r>
      <w:r w:rsidDel="00000000" w:rsidR="00000000" w:rsidRPr="00000000">
        <w:rPr>
          <w:i w:val="1"/>
          <w:iCs w:val="1"/>
          <w:rtl w:val="0"/>
        </w:rPr>
        <w:t xml:space="preserve">onthly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</w:t>
      </w:r>
      <w:r w:rsidDel="00000000" w:rsidR="00000000" w:rsidRPr="00000000">
        <w:rPr>
          <w:i w:val="1"/>
          <w:iCs w:val="1"/>
          <w:rtl w:val="0"/>
        </w:rPr>
        <w:t xml:space="preserve">ecurring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</w:t>
      </w:r>
      <w:r w:rsidDel="00000000" w:rsidR="00000000" w:rsidRPr="00000000">
        <w:rPr>
          <w:i w:val="1"/>
          <w:iCs w:val="1"/>
          <w:rtl w:val="0"/>
        </w:rPr>
        <w:t xml:space="preserve">evenue - ingreso mensual recurrente</w:t>
      </w:r>
    </w:p>
    <w:p w:rsidR="00000000" w:rsidDel="00000000" w:rsidP="00000000" w:rsidRDefault="00000000" w:rsidRPr="00000000" w14:paraId="00000006">
      <w:pPr>
        <w:spacing w:after="0" w:before="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Dashboard ejecutivo -&gt; ve la dirección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6840000" cy="6121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6840000" cy="7734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6840000" cy="6146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6840000" cy="6311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6840000" cy="7569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756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6840000" cy="635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6840000" cy="8521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852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7"/>
        <w:gridCol w:w="5387"/>
        <w:tblGridChange w:id="0">
          <w:tblGrid>
            <w:gridCol w:w="5387"/>
            <w:gridCol w:w="5387"/>
          </w:tblGrid>
        </w:tblGridChange>
      </w:tblGrid>
      <w:tr>
        <w:trPr>
          <w:cantSplit w:val="0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 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 principal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ejecutivo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Predicción individual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Soporte · Ejecutivos de cuenta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Clientes en riesgo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Soporte · Marketing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Detalle del cliente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Soporte · Ejecutivos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Scoring masivo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Desarrollo · Dirección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Campañas de retención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Análisis de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Desarrollo </w:t>
            </w:r>
          </w:p>
        </w:tc>
      </w:tr>
    </w:tbl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Dirección de la empresa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Pueden ver clientes en riesgo y la tasa de retención lograda en Campañas. Un director no va a mirar el detalle de TechNova Solutions — necesita ver el panorama general: cuánto MRR (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onthly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ecurring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evenue</w:t>
      </w:r>
      <w:r w:rsidDel="00000000" w:rsidR="00000000" w:rsidRPr="00000000">
        <w:rPr>
          <w:rtl w:val="0"/>
        </w:rPr>
        <w:t xml:space="preserve">) está en riesgo, cómo evoluciona la churn rate en el tiempo, qué impacto tuvieron las acciones tomadas. </w:t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La pantalla de Campañas de retención está claramente diseñada para ellos. Tienen segmentación por riesgo, métricas de respuesta y retención lograda, y pueden crear campañas nuevas. Es la pantalla más completa en términos de flujo de trabajo.</w:t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Área de 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Clientes en riesgo + Detalle del cliente es exactamente lo que soporte necesita: saber a quién llamar, con qué urgencia, y qué le está pasando al cliente. La acción "Crear tarea en CRM" (</w:t>
      </w:r>
      <w:r w:rsidDel="00000000" w:rsidR="00000000" w:rsidRPr="00000000">
        <w:rPr>
          <w:rtl w:val="0"/>
        </w:rPr>
        <w:t xml:space="preserve">Customer Relationship Management</w:t>
      </w:r>
      <w:r w:rsidDel="00000000" w:rsidR="00000000" w:rsidRPr="00000000">
        <w:rPr>
          <w:rtl w:val="0"/>
        </w:rPr>
        <w:t xml:space="preserve"> — gestión de relaciones con clientes ) en la pantalla de predicción también conecta bien con su flujo de trabajo real.</w:t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Área de desarrollo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No hay ninguna pantalla que muestre qué features generan engagement o cuáles están asociadas al churn. Un dev necesitaría ver algo como "las cuentas que usan la feature X tienen 30% menos churn" para priorizar el roadmap. Actualmente los factores de riesgo muestran comportamiento del cliente, no del producto.</w:t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El valor llega a ellos indirectamente a través de las acciones de retención.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q337ontau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qna5i02vt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