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tcPr>
          <w:p>
            <w:pPr>
              <w:spacing w:before="4241"/>
            </w:pPr>
          </w:p>
          <w:p>
            <w:pPr>
              <w:pBdr>
                <w:bottom w:val="single" w:color="D4AF37" w:sz="6" w:space="8"/>
              </w:pBdr>
              <w:spacing w:after="500"/>
              <w:ind w:left="1200" w:right="800"/>
            </w:pPr>
            <w:r>
              <w:rPr>
                <w:rFonts w:ascii="Calibri"/>
                <w:color w:val="D4AF37"/>
                <w:spacing w:val="40"/>
                <w:sz w:val="18"/>
                <w:szCs w:val="18"/>
              </w:rPr>
              <w:t xml:space="preserve">BUSINESS DOCUMENT</w:t>
            </w:r>
          </w:p>
          <w:p>
            <w:pPr>
              <w:spacing w:after="100" w:line="920" w:lineRule="atLeast"/>
              <w:ind w:left="1200"/>
            </w:pPr>
            <w:r>
              <w:rPr>
                <w:rFonts w:ascii="Arial"/>
                <w:b/>
                <w:bCs/>
                <w:color w:val="FFFFFF"/>
                <w:sz w:val="80"/>
                <w:szCs w:val="80"/>
              </w:rPr>
              <w:t xml:space="preserve">Glory Servi</w:t>
            </w:r>
          </w:p>
          <w:p>
            <w:pPr>
              <w:spacing w:after="300" w:line="920" w:lineRule="atLeast"/>
              <w:ind w:left="1200"/>
            </w:pPr>
            <w:r>
              <w:rPr>
                <w:rFonts w:ascii="Arial"/>
                <w:b/>
                <w:bCs/>
                <w:color w:val="FFFFFF"/>
                <w:sz w:val="80"/>
                <w:szCs w:val="80"/>
              </w:rPr>
              <w:t xml:space="preserve">ce Workflow</w:t>
            </w:r>
          </w:p>
          <w:p>
            <w:pPr>
              <w:spacing w:after="800"/>
              <w:ind w:left="1200"/>
            </w:pPr>
            <w:r>
              <w:rPr>
                <w:rFonts w:ascii="Calibri"/>
                <w:color w:val="D4AF37"/>
                <w:sz w:val="26"/>
                <w:szCs w:val="26"/>
              </w:rPr>
              <w:t xml:space="preserve">Documento de Negocio</w:t>
            </w:r>
          </w:p>
          <w:p>
            <w:pPr>
              <w:pBdr>
                <w:left w:val="single" w:color="D4AF37" w:sz="8" w:space="12"/>
              </w:pBdr>
              <w:spacing w:after="80"/>
              <w:ind w:left="1400"/>
            </w:pPr>
            <w:r>
              <w:rPr>
                <w:rFonts w:ascii="Calibri"/>
                <w:color w:val="B0B8C0"/>
                <w:sz w:val="24"/>
                <w:szCs w:val="24"/>
              </w:rPr>
              <w:t xml:space="preserve">Plataforma de Gestion de Flujos de Servicio</w:t>
            </w:r>
          </w:p>
          <w:p>
            <w:pPr>
              <w:pBdr>
                <w:left w:val="single" w:color="D4AF37" w:sz="8" w:space="12"/>
              </w:pBdr>
              <w:spacing w:after="80"/>
              <w:ind w:left="1400"/>
            </w:pPr>
            <w:r>
              <w:rPr>
                <w:rFonts w:ascii="Calibri"/>
                <w:color w:val="B0B8C0"/>
                <w:sz w:val="24"/>
                <w:szCs w:val="24"/>
              </w:rPr>
              <w:t xml:space="preserve">Documento Confidencial</w:t>
            </w:r>
          </w:p>
          <w:p>
            <w:pPr>
              <w:pBdr>
                <w:left w:val="single" w:color="D4AF37" w:sz="8" w:space="12"/>
              </w:pBdr>
              <w:spacing w:after="80"/>
              <w:ind w:left="1400"/>
            </w:pPr>
            <w:r>
              <w:rPr>
                <w:rFonts w:ascii="Calibri"/>
                <w:color w:val="B0B8C0"/>
                <w:sz w:val="24"/>
                <w:szCs w:val="24"/>
              </w:rPr>
              <w:t xml:space="preserve">2025</w:t>
            </w:r>
          </w:p>
          <w:p>
            <w:pPr>
              <w:spacing w:before="4241"/>
            </w:pPr>
          </w:p>
          <w:p>
            <w:pPr>
              <w:pBdr>
                <w:top w:val="single" w:color="D4AF37" w:sz="2" w:space="8"/>
              </w:pBdr>
              <w:spacing w:before="200"/>
              <w:ind w:left="1200" w:right="800"/>
            </w:pPr>
            <w:r>
              <w:rPr>
                <w:rFonts w:ascii="Calibri"/>
                <w:color w:val="687078"/>
                <w:sz w:val="16"/>
                <w:szCs w:val="16"/>
              </w:rPr>
              <w:t xml:space="preserve">Glory Service Workflow</w:t>
            </w:r>
            <w:r>
              <w:t xml:space="preserve">                                        </w:t>
            </w:r>
            <w:r>
              <w:rPr>
                <w:rFonts w:ascii="Calibri"/>
                <w:color w:val="687078"/>
                <w:sz w:val="16"/>
                <w:szCs w:val="16"/>
              </w:rPr>
              <w:t xml:space="preserve">www.gloryservice.com</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b/>
          <w:bCs/>
          <w:color w:val="0F2027"/>
          <w:sz w:val="32"/>
          <w:szCs w:val="32"/>
        </w:rPr>
        <w:t xml:space="preserve">Tabla de Contenidos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Resumen Ejecutivo</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El Problema</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Gestion Manual de Documentos</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Falta de Visibilidad en el Progreso</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Brechas de Comunicacion entre Areas</w:t>
            </w:r>
            <w:r>
              <w:tab/>
            </w:r>
            <w:r>
              <w:fldChar w:fldCharType="begin"/>
            </w:r>
            <w:r>
              <w:instrText xml:space="preserve"> PAGEREF _Toc100004 \h </w:instrText>
            </w:r>
            <w:r>
              <w:fldChar w:fldCharType="separate"/>
            </w:r>
            <w:r>
              <w:t>2</w:t>
            </w:r>
            <w:r>
              <w:fldChar w:fldCharType="end"/>
            </w:r>
          </w:hyperlink>
        </w:p>
        <w:p>
          <w:pPr>
            <w:pStyle w:val="11"/>
            <w:ind w:left="360"/>
            <w:tabs>
              <w:tab w:val="right" w:leader="dot" w:pos="9026"/>
            </w:tabs>
            <w:spacing w:before="120" w:after="60"/>
          </w:pPr>
          <w:hyperlink w:anchor="_Toc100005" w:history="1">
            <w:r>
              <w:rPr>
                <w:rStyle w:val="Hyperlink"/>
              </w:rPr>
              <w:t>2.4 Tiempo Perdido en el Seguimiento</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2.5 Errores y Retrabajo</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3. La Solucion</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3.1 Gestion Automatizada de Flujos de Trabajo</w:t>
            </w:r>
            <w:r>
              <w:tab/>
            </w:r>
            <w:r>
              <w:fldChar w:fldCharType="begin"/>
            </w:r>
            <w:r>
              <w:instrText xml:space="preserve"> PAGEREF _Toc100008 \h </w:instrText>
            </w:r>
            <w:r>
              <w:fldChar w:fldCharType="separate"/>
            </w:r>
            <w:r>
              <w:t>3</w:t>
            </w:r>
            <w:r>
              <w:fldChar w:fldCharType="end"/>
            </w:r>
          </w:hyperlink>
        </w:p>
        <w:p>
          <w:pPr>
            <w:pStyle w:val="11"/>
            <w:ind w:left="360"/>
            <w:tabs>
              <w:tab w:val="right" w:leader="dot" w:pos="9026"/>
            </w:tabs>
            <w:spacing w:before="120" w:after="60"/>
          </w:pPr>
          <w:hyperlink w:anchor="_Toc100009" w:history="1">
            <w:r>
              <w:rPr>
                <w:rStyle w:val="Hyperlink"/>
              </w:rPr>
              <w:t>3.2 Carga y Procesamiento de Documentos Word</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3.3 Edicion Colaborativa en Campo</w:t>
            </w:r>
            <w:r>
              <w:tab/>
            </w:r>
            <w:r>
              <w:fldChar w:fldCharType="begin"/>
            </w:r>
            <w:r>
              <w:instrText xml:space="preserve"> PAGEREF _Toc100010 \h </w:instrText>
            </w:r>
            <w:r>
              <w:fldChar w:fldCharType="separate"/>
            </w:r>
            <w:r>
              <w:t>4</w:t>
            </w:r>
            <w:r>
              <w:fldChar w:fldCharType="end"/>
            </w:r>
          </w:hyperlink>
        </w:p>
        <w:p>
          <w:pPr>
            <w:pStyle w:val="11"/>
            <w:ind w:left="360"/>
            <w:tabs>
              <w:tab w:val="right" w:leader="dot" w:pos="9026"/>
            </w:tabs>
            <w:spacing w:before="120" w:after="60"/>
          </w:pPr>
          <w:hyperlink w:anchor="_Toc100011" w:history="1">
            <w:r>
              <w:rPr>
                <w:rStyle w:val="Hyperlink"/>
              </w:rPr>
              <w:t>3.4 Notificaciones en Tiempo Real</w:t>
            </w:r>
            <w:r>
              <w:tab/>
            </w:r>
            <w:r>
              <w:fldChar w:fldCharType="begin"/>
            </w:r>
            <w:r>
              <w:instrText xml:space="preserve"> PAGEREF _Toc100011 \h </w:instrText>
            </w:r>
            <w:r>
              <w:fldChar w:fldCharType="separate"/>
            </w:r>
            <w:r>
              <w:t>4</w:t>
            </w:r>
            <w:r>
              <w:fldChar w:fldCharType="end"/>
            </w:r>
          </w:hyperlink>
        </w:p>
        <w:p>
          <w:pPr>
            <w:pStyle w:val="11"/>
            <w:ind w:left="360"/>
            <w:tabs>
              <w:tab w:val="right" w:leader="dot" w:pos="9026"/>
            </w:tabs>
            <w:spacing w:before="120" w:after="60"/>
          </w:pPr>
          <w:hyperlink w:anchor="_Toc100012" w:history="1">
            <w:r>
              <w:rPr>
                <w:rStyle w:val="Hyperlink"/>
              </w:rPr>
              <w:t>3.5 Descarga de Documentos Completados</w:t>
            </w:r>
            <w:r>
              <w:tab/>
            </w:r>
            <w:r>
              <w:fldChar w:fldCharType="begin"/>
            </w:r>
            <w:r>
              <w:instrText xml:space="preserve"> PAGEREF _Toc100012 \h </w:instrText>
            </w:r>
            <w:r>
              <w:fldChar w:fldCharType="separate"/>
            </w:r>
            <w:r>
              <w:t>5</w:t>
            </w:r>
            <w:r>
              <w:fldChar w:fldCharType="end"/>
            </w:r>
          </w:hyperlink>
        </w:p>
        <w:p>
          <w:pPr>
            <w:pStyle w:val="11"/>
            <w:ind w:left="360"/>
            <w:tabs>
              <w:tab w:val="right" w:leader="dot" w:pos="9026"/>
            </w:tabs>
            <w:spacing w:before="120" w:after="60"/>
          </w:pPr>
          <w:hyperlink w:anchor="_Toc100013" w:history="1">
            <w:r>
              <w:rPr>
                <w:rStyle w:val="Hyperlink"/>
              </w:rPr>
              <w:t>3.6 Dashboard con Seguimiento de Progreso</w:t>
            </w:r>
            <w:r>
              <w:tab/>
            </w:r>
            <w:r>
              <w:fldChar w:fldCharType="begin"/>
            </w:r>
            <w:r>
              <w:instrText xml:space="preserve"> PAGEREF _Toc100013 \h </w:instrText>
            </w:r>
            <w:r>
              <w:fldChar w:fldCharType="separate"/>
            </w:r>
            <w:r>
              <w:t>5</w:t>
            </w:r>
            <w:r>
              <w:fldChar w:fldCharType="end"/>
            </w:r>
          </w:hyperlink>
        </w:p>
        <w:p>
          <w:pPr>
            <w:pStyle w:val="9"/>
            <w:tabs>
              <w:tab w:val="right" w:leader="dot" w:pos="9026"/>
            </w:tabs>
            <w:spacing w:before="120" w:after="60"/>
          </w:pPr>
          <w:hyperlink w:anchor="_Toc100014" w:history="1">
            <w:r>
              <w:rPr>
                <w:rStyle w:val="Hyperlink"/>
              </w:rPr>
              <w:t>4. Caracteristicas Principales</w:t>
            </w:r>
            <w:r>
              <w:tab/>
            </w:r>
            <w:r>
              <w:fldChar w:fldCharType="begin"/>
            </w:r>
            <w:r>
              <w:instrText xml:space="preserve"> PAGEREF _Toc100014 \h </w:instrText>
            </w:r>
            <w:r>
              <w:fldChar w:fldCharType="separate"/>
            </w:r>
            <w:r>
              <w:t>5</w:t>
            </w:r>
            <w:r>
              <w:fldChar w:fldCharType="end"/>
            </w:r>
          </w:hyperlink>
        </w:p>
        <w:p>
          <w:pPr>
            <w:pStyle w:val="9"/>
            <w:tabs>
              <w:tab w:val="right" w:leader="dot" w:pos="9026"/>
            </w:tabs>
            <w:spacing w:before="120" w:after="60"/>
          </w:pPr>
          <w:hyperlink w:anchor="_Toc100015" w:history="1">
            <w:r>
              <w:rPr>
                <w:rStyle w:val="Hyperlink"/>
              </w:rPr>
              <w:t>5. Modelo de Negocio</w:t>
            </w:r>
            <w:r>
              <w:tab/>
            </w:r>
            <w:r>
              <w:fldChar w:fldCharType="begin"/>
            </w:r>
            <w:r>
              <w:instrText xml:space="preserve"> PAGEREF _Toc100015 \h </w:instrText>
            </w:r>
            <w:r>
              <w:fldChar w:fldCharType="separate"/>
            </w:r>
            <w:r>
              <w:t>5</w:t>
            </w:r>
            <w:r>
              <w:fldChar w:fldCharType="end"/>
            </w:r>
          </w:hyperlink>
        </w:p>
        <w:p>
          <w:pPr>
            <w:pStyle w:val="11"/>
            <w:ind w:left="360"/>
            <w:tabs>
              <w:tab w:val="right" w:leader="dot" w:pos="9026"/>
            </w:tabs>
            <w:spacing w:before="120" w:after="60"/>
          </w:pPr>
          <w:hyperlink w:anchor="_Toc100016" w:history="1">
            <w:r>
              <w:rPr>
                <w:rStyle w:val="Hyperlink"/>
              </w:rPr>
              <w:t>5.1 Modelo de Ingresos (Suscripcion SaaS)</w:t>
            </w:r>
            <w:r>
              <w:tab/>
            </w:r>
            <w:r>
              <w:fldChar w:fldCharType="begin"/>
            </w:r>
            <w:r>
              <w:instrText xml:space="preserve"> PAGEREF _Toc100016 \h </w:instrText>
            </w:r>
            <w:r>
              <w:fldChar w:fldCharType="separate"/>
            </w:r>
            <w:r>
              <w:t>6</w:t>
            </w:r>
            <w:r>
              <w:fldChar w:fldCharType="end"/>
            </w:r>
          </w:hyperlink>
        </w:p>
        <w:p>
          <w:pPr>
            <w:pStyle w:val="11"/>
            <w:ind w:left="360"/>
            <w:tabs>
              <w:tab w:val="right" w:leader="dot" w:pos="9026"/>
            </w:tabs>
            <w:spacing w:before="120" w:after="60"/>
          </w:pPr>
          <w:hyperlink w:anchor="_Toc100017" w:history="1">
            <w:r>
              <w:rPr>
                <w:rStyle w:val="Hyperlink"/>
              </w:rPr>
              <w:t>5.2 Segmentos de Mercado Objetivo</w:t>
            </w:r>
            <w:r>
              <w:tab/>
            </w:r>
            <w:r>
              <w:fldChar w:fldCharType="begin"/>
            </w:r>
            <w:r>
              <w:instrText xml:space="preserve"> PAGEREF _Toc100017 \h </w:instrText>
            </w:r>
            <w:r>
              <w:fldChar w:fldCharType="separate"/>
            </w:r>
            <w:r>
              <w:t>6</w:t>
            </w:r>
            <w:r>
              <w:fldChar w:fldCharType="end"/>
            </w:r>
          </w:hyperlink>
        </w:p>
        <w:p>
          <w:pPr>
            <w:pStyle w:val="11"/>
            <w:ind w:left="360"/>
            <w:tabs>
              <w:tab w:val="right" w:leader="dot" w:pos="9026"/>
            </w:tabs>
            <w:spacing w:before="120" w:after="60"/>
          </w:pPr>
          <w:hyperlink w:anchor="_Toc100018" w:history="1">
            <w:r>
              <w:rPr>
                <w:rStyle w:val="Hyperlink"/>
              </w:rPr>
              <w:t>5.3 Ventajas Competitivas</w:t>
            </w:r>
            <w:r>
              <w:tab/>
            </w:r>
            <w:r>
              <w:fldChar w:fldCharType="begin"/>
            </w:r>
            <w:r>
              <w:instrText xml:space="preserve"> PAGEREF _Toc100018 \h </w:instrText>
            </w:r>
            <w:r>
              <w:fldChar w:fldCharType="separate"/>
            </w:r>
            <w:r>
              <w:t>7</w:t>
            </w:r>
            <w:r>
              <w:fldChar w:fldCharType="end"/>
            </w:r>
          </w:hyperlink>
        </w:p>
        <w:p>
          <w:pPr>
            <w:pStyle w:val="11"/>
            <w:ind w:left="360"/>
            <w:tabs>
              <w:tab w:val="right" w:leader="dot" w:pos="9026"/>
            </w:tabs>
            <w:spacing w:before="120" w:after="60"/>
          </w:pPr>
          <w:hyperlink w:anchor="_Toc100019" w:history="1">
            <w:r>
              <w:rPr>
                <w:rStyle w:val="Hyperlink"/>
              </w:rPr>
              <w:t>5.4 Propuesta de Valor Econmica</w:t>
            </w:r>
            <w:r>
              <w:tab/>
            </w:r>
            <w:r>
              <w:fldChar w:fldCharType="begin"/>
            </w:r>
            <w:r>
              <w:instrText xml:space="preserve"> PAGEREF _Toc100019 \h </w:instrText>
            </w:r>
            <w:r>
              <w:fldChar w:fldCharType="separate"/>
            </w:r>
            <w:r>
              <w:t>8</w:t>
            </w:r>
            <w:r>
              <w:fldChar w:fldCharType="end"/>
            </w:r>
          </w:hyperlink>
        </w:p>
        <w:p>
          <w:pPr>
            <w:pStyle w:val="9"/>
            <w:tabs>
              <w:tab w:val="right" w:leader="dot" w:pos="9026"/>
            </w:tabs>
            <w:spacing w:before="120" w:after="60"/>
          </w:pPr>
          <w:hyperlink w:anchor="_Toc100020" w:history="1">
            <w:r>
              <w:rPr>
                <w:rStyle w:val="Hyperlink"/>
              </w:rPr>
              <w:t>6. Propuesta de Valor</w:t>
            </w:r>
            <w:r>
              <w:tab/>
            </w:r>
            <w:r>
              <w:fldChar w:fldCharType="begin"/>
            </w:r>
            <w:r>
              <w:instrText xml:space="preserve"> PAGEREF _Toc100020 \h </w:instrText>
            </w:r>
            <w:r>
              <w:fldChar w:fldCharType="separate"/>
            </w:r>
            <w:r>
              <w:t>8</w:t>
            </w:r>
            <w:r>
              <w:fldChar w:fldCharType="end"/>
            </w:r>
          </w:hyperlink>
        </w:p>
        <w:p>
          <w:pPr>
            <w:pStyle w:val="11"/>
            <w:ind w:left="360"/>
            <w:tabs>
              <w:tab w:val="right" w:leader="dot" w:pos="9026"/>
            </w:tabs>
            <w:spacing w:before="120" w:after="60"/>
          </w:pPr>
          <w:hyperlink w:anchor="_Toc100021" w:history="1">
            <w:r>
              <w:rPr>
                <w:rStyle w:val="Hyperlink"/>
              </w:rPr>
              <w:t>6.1 Para Directivos y Gerentes</w:t>
            </w:r>
            <w:r>
              <w:tab/>
            </w:r>
            <w:r>
              <w:fldChar w:fldCharType="begin"/>
            </w:r>
            <w:r>
              <w:instrText xml:space="preserve"> PAGEREF _Toc100021 \h </w:instrText>
            </w:r>
            <w:r>
              <w:fldChar w:fldCharType="separate"/>
            </w:r>
            <w:r>
              <w:t>8</w:t>
            </w:r>
            <w:r>
              <w:fldChar w:fldCharType="end"/>
            </w:r>
          </w:hyperlink>
        </w:p>
        <w:p>
          <w:pPr>
            <w:pStyle w:val="11"/>
            <w:ind w:left="360"/>
            <w:tabs>
              <w:tab w:val="right" w:leader="dot" w:pos="9026"/>
            </w:tabs>
            <w:spacing w:before="120" w:after="60"/>
          </w:pPr>
          <w:hyperlink w:anchor="_Toc100022" w:history="1">
            <w:r>
              <w:rPr>
                <w:rStyle w:val="Hyperlink"/>
              </w:rPr>
              <w:t>6.2 Para Supervisores y Coordinadores</w:t>
            </w:r>
            <w:r>
              <w:tab/>
            </w:r>
            <w:r>
              <w:fldChar w:fldCharType="begin"/>
            </w:r>
            <w:r>
              <w:instrText xml:space="preserve"> PAGEREF _Toc100022 \h </w:instrText>
            </w:r>
            <w:r>
              <w:fldChar w:fldCharType="separate"/>
            </w:r>
            <w:r>
              <w:t>9</w:t>
            </w:r>
            <w:r>
              <w:fldChar w:fldCharType="end"/>
            </w:r>
          </w:hyperlink>
        </w:p>
        <w:p>
          <w:pPr>
            <w:pStyle w:val="11"/>
            <w:ind w:left="360"/>
            <w:tabs>
              <w:tab w:val="right" w:leader="dot" w:pos="9026"/>
            </w:tabs>
            <w:spacing w:before="120" w:after="60"/>
          </w:pPr>
          <w:hyperlink w:anchor="_Toc100023" w:history="1">
            <w:r>
              <w:rPr>
                <w:rStyle w:val="Hyperlink"/>
              </w:rPr>
              <w:t>6.3 Para Operadores de Campo</w:t>
            </w:r>
            <w:r>
              <w:tab/>
            </w:r>
            <w:r>
              <w:fldChar w:fldCharType="begin"/>
            </w:r>
            <w:r>
              <w:instrText xml:space="preserve"> PAGEREF _Toc100023 \h </w:instrText>
            </w:r>
            <w:r>
              <w:fldChar w:fldCharType="separate"/>
            </w:r>
            <w:r>
              <w:t>9</w:t>
            </w:r>
            <w:r>
              <w:fldChar w:fldCharType="end"/>
            </w:r>
          </w:hyperlink>
        </w:p>
        <w:p>
          <w:pPr>
            <w:pStyle w:val="11"/>
            <w:ind w:left="360"/>
            <w:tabs>
              <w:tab w:val="right" w:leader="dot" w:pos="9026"/>
            </w:tabs>
            <w:spacing w:before="120" w:after="60"/>
          </w:pPr>
          <w:hyperlink w:anchor="_Toc100024" w:history="1">
            <w:r>
              <w:rPr>
                <w:rStyle w:val="Hyperlink"/>
              </w:rPr>
              <w:t>6.4 Para el Area de Contabilidad</w:t>
            </w:r>
            <w:r>
              <w:tab/>
            </w:r>
            <w:r>
              <w:fldChar w:fldCharType="begin"/>
            </w:r>
            <w:r>
              <w:instrText xml:space="preserve"> PAGEREF _Toc100024 \h </w:instrText>
            </w:r>
            <w:r>
              <w:fldChar w:fldCharType="separate"/>
            </w:r>
            <w:r>
              <w:t>9</w:t>
            </w:r>
            <w:r>
              <w:fldChar w:fldCharType="end"/>
            </w:r>
          </w:hyperlink>
        </w:p>
        <w:p>
          <w:pPr>
            <w:pStyle w:val="11"/>
            <w:ind w:left="360"/>
            <w:tabs>
              <w:tab w:val="right" w:leader="dot" w:pos="9026"/>
            </w:tabs>
            <w:spacing w:before="120" w:after="60"/>
          </w:pPr>
          <w:hyperlink w:anchor="_Toc100025" w:history="1">
            <w:r>
              <w:rPr>
                <w:rStyle w:val="Hyperlink"/>
              </w:rPr>
              <w:t>6.5 Para el Cliente Final</w:t>
            </w:r>
            <w:r>
              <w:tab/>
            </w:r>
            <w:r>
              <w:fldChar w:fldCharType="begin"/>
            </w:r>
            <w:r>
              <w:instrText xml:space="preserve"> PAGEREF _Toc100025 \h </w:instrText>
            </w:r>
            <w:r>
              <w:fldChar w:fldCharType="separate"/>
            </w:r>
            <w:r>
              <w:t>9</w:t>
            </w:r>
            <w:r>
              <w:fldChar w:fldCharType="end"/>
            </w:r>
          </w:hyperlink>
        </w:p>
        <w:p>
          <w:pPr>
            <w:pStyle w:val="9"/>
            <w:tabs>
              <w:tab w:val="right" w:leader="dot" w:pos="9026"/>
            </w:tabs>
            <w:spacing w:before="120" w:after="60"/>
          </w:pPr>
          <w:hyperlink w:anchor="_Toc100026" w:history="1">
            <w:r>
              <w:rPr>
                <w:rStyle w:val="Hyperlink"/>
              </w:rPr>
              <w:t>7. Plan de Implementacion</w:t>
            </w:r>
            <w:r>
              <w:tab/>
            </w:r>
            <w:r>
              <w:fldChar w:fldCharType="begin"/>
            </w:r>
            <w:r>
              <w:instrText xml:space="preserve"> PAGEREF _Toc100026 \h </w:instrText>
            </w:r>
            <w:r>
              <w:fldChar w:fldCharType="separate"/>
            </w:r>
            <w:r>
              <w:t>10</w:t>
            </w:r>
            <w:r>
              <w:fldChar w:fldCharType="end"/>
            </w:r>
          </w:hyperlink>
        </w:p>
        <w:p>
          <w:pPr>
            <w:pStyle w:val="11"/>
            <w:ind w:left="360"/>
            <w:tabs>
              <w:tab w:val="right" w:leader="dot" w:pos="9026"/>
            </w:tabs>
            <w:spacing w:before="120" w:after="60"/>
          </w:pPr>
          <w:hyperlink w:anchor="_Toc100027" w:history="1">
            <w:r>
              <w:rPr>
                <w:rStyle w:val="Hyperlink"/>
              </w:rPr>
              <w:t>7.1 Fase 1: Producto Minimo Viable (MVP)</w:t>
            </w:r>
            <w:r>
              <w:tab/>
            </w:r>
            <w:r>
              <w:fldChar w:fldCharType="begin"/>
            </w:r>
            <w:r>
              <w:instrText xml:space="preserve"> PAGEREF _Toc100027 \h </w:instrText>
            </w:r>
            <w:r>
              <w:fldChar w:fldCharType="separate"/>
            </w:r>
            <w:r>
              <w:t>10</w:t>
            </w:r>
            <w:r>
              <w:fldChar w:fldCharType="end"/>
            </w:r>
          </w:hyperlink>
        </w:p>
        <w:p>
          <w:pPr>
            <w:pStyle w:val="11"/>
            <w:ind w:left="360"/>
            <w:tabs>
              <w:tab w:val="right" w:leader="dot" w:pos="9026"/>
            </w:tabs>
            <w:spacing w:before="120" w:after="60"/>
          </w:pPr>
          <w:hyperlink w:anchor="_Toc100028" w:history="1">
            <w:r>
              <w:rPr>
                <w:rStyle w:val="Hyperlink"/>
              </w:rPr>
              <w:t>7.2 Fase 2: Escalamiento y Mejora (Meses 5-8)</w:t>
            </w:r>
            <w:r>
              <w:tab/>
            </w:r>
            <w:r>
              <w:fldChar w:fldCharType="begin"/>
            </w:r>
            <w:r>
              <w:instrText xml:space="preserve"> PAGEREF _Toc100028 \h </w:instrText>
            </w:r>
            <w:r>
              <w:fldChar w:fldCharType="separate"/>
            </w:r>
            <w:r>
              <w:t>10</w:t>
            </w:r>
            <w:r>
              <w:fldChar w:fldCharType="end"/>
            </w:r>
          </w:hyperlink>
        </w:p>
        <w:p>
          <w:pPr>
            <w:pStyle w:val="11"/>
            <w:ind w:left="360"/>
            <w:tabs>
              <w:tab w:val="right" w:leader="dot" w:pos="9026"/>
            </w:tabs>
            <w:spacing w:before="120" w:after="60"/>
          </w:pPr>
          <w:hyperlink w:anchor="_Toc100029" w:history="1">
            <w:r>
              <w:rPr>
                <w:rStyle w:val="Hyperlink"/>
              </w:rPr>
              <w:t>7.3 Fase 3: Expansion y Enterprise (Meses 9-12)</w:t>
            </w:r>
            <w:r>
              <w:tab/>
            </w:r>
            <w:r>
              <w:fldChar w:fldCharType="begin"/>
            </w:r>
            <w:r>
              <w:instrText xml:space="preserve"> PAGEREF _Toc100029 \h </w:instrText>
            </w:r>
            <w:r>
              <w:fldChar w:fldCharType="separate"/>
            </w:r>
            <w:r>
              <w:t>10</w:t>
            </w:r>
            <w:r>
              <w:fldChar w:fldCharType="end"/>
            </w:r>
          </w:hyperlink>
        </w:p>
        <w:p>
          <w:pPr>
            <w:pStyle w:val="11"/>
            <w:ind w:left="360"/>
            <w:tabs>
              <w:tab w:val="right" w:leader="dot" w:pos="9026"/>
            </w:tabs>
            <w:spacing w:before="120" w:after="60"/>
          </w:pPr>
          <w:hyperlink w:anchor="_Toc100030" w:history="1">
            <w:r>
              <w:rPr>
                <w:rStyle w:val="Hyperlink"/>
              </w:rPr>
              <w:t>7.4 Roadmap Posterior</w:t>
            </w:r>
            <w:r>
              <w:tab/>
            </w:r>
            <w:r>
              <w:fldChar w:fldCharType="begin"/>
            </w:r>
            <w:r>
              <w:instrText xml:space="preserve"> PAGEREF _Toc100030 \h </w:instrText>
            </w:r>
            <w:r>
              <w:fldChar w:fldCharType="separate"/>
            </w:r>
            <w:r>
              <w:t>11</w:t>
            </w:r>
            <w:r>
              <w:fldChar w:fldCharType="end"/>
            </w:r>
          </w:hyperlink>
        </w:p>
        <w:p>
          <w:pPr>
            <w:pStyle w:val="9"/>
            <w:tabs>
              <w:tab w:val="right" w:leader="dot" w:pos="9026"/>
            </w:tabs>
            <w:spacing w:before="120" w:after="60"/>
          </w:pPr>
          <w:hyperlink w:anchor="_Toc100031" w:history="1">
            <w:r>
              <w:rPr>
                <w:rStyle w:val="Hyperlink"/>
              </w:rPr>
              <w:t>8. Conclusiones</w:t>
            </w:r>
            <w:r>
              <w:tab/>
            </w:r>
            <w:r>
              <w:fldChar w:fldCharType="begin"/>
            </w:r>
            <w:r>
              <w:instrText xml:space="preserve"> PAGEREF _Toc100031 \h </w:instrText>
            </w:r>
            <w:r>
              <w:fldChar w:fldCharType="separate"/>
            </w:r>
            <w:r>
              <w:t>11</w:t>
            </w:r>
            <w:r>
              <w:fldChar w:fldCharType="end"/>
            </w:r>
          </w:hyperlink>
        </w:p>
        <w:p>
          <w:r>
            <w:fldChar w:fldCharType="end"/>
          </w:r>
        </w:p>
      </w:sdtContent>
    </w:sdt>
    <w:p>
      <w:pPr>
        <w:spacing w:before="200"/>
      </w:pPr>
      <w:r>
        <w:rPr>
          <w:rFonts w:ascii="Calibri"/>
          <w:i/>
          <w:iCs/>
          <w:color w:val="888888"/>
          <w:sz w:val="18"/>
          <w:szCs w:val="18"/>
        </w:rPr>
        <w:t xml:space="preserve">Nota: Esta Tabla de Contenidos se genera mediante codigos de campo. Para asegurar la precision de los numeros de pagina tras la edicion, haga clic derecho en la tabla y seleccione "Actualizar campo".</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480"/>
      </w:pPr>
      <w:bookmarkStart w:id="100000" w:name="_Toc100000"/>
      <w:r>
        <w:rPr>
          <w:rFonts w:ascii="Times New Roman"/>
          <w:b/>
          <w:bCs/>
          <w:color w:val="0F2027"/>
          <w:sz w:val="32"/>
          <w:szCs w:val="32"/>
        </w:rPr>
        <w:t xml:space="preserve">1. Resumen Ejecutivo</w:t>
      </w:r>
      <w:bookmarkEnd w:id="100000"/>
    </w:p>
    <w:p>
      <w:pPr>
        <w:spacing w:after="120" w:line="312"/>
        <w:jc w:val="both"/>
      </w:pPr>
      <w:r>
        <w:rPr>
          <w:rFonts w:ascii="Calibri"/>
          <w:color w:val="182030"/>
          <w:sz w:val="24"/>
          <w:szCs w:val="24"/>
        </w:rPr>
        <w:t xml:space="preserve">Glory Service Workflow es una plataforma digital integral disenada para transformar la gestion de flujos de trabajo en empresas de servicios. En un entorno empresarial donde la eficiencia operativa y la coordinacion interdepartamental son criticas para la competitividad, esta solucion se posiciona como el eje central que conecta y automatiza los procesos de cinco areas fundamentales: Despachador, Ejecutivo de Servicio, Contabilidad, Soporte de Servicio y Cadena de Suministro.</w:t>
      </w:r>
    </w:p>
    <w:p>
      <w:pPr>
        <w:spacing w:after="120" w:line="312"/>
        <w:jc w:val="both"/>
      </w:pPr>
      <w:r>
        <w:rPr>
          <w:rFonts w:ascii="Calibri"/>
          <w:color w:val="182030"/>
          <w:sz w:val="24"/>
          <w:szCs w:val="24"/>
        </w:rPr>
        <w:t xml:space="preserve">La plataforma aborda un problema generalizado en las organizaciones de servicios: la gestion manual e ineficiente de documentos y flujos de trabajo que genera retrazos significativos, errores costosos y una falta de visibilidad critica sobre el estado de cada operacion. Al centralizar el procesamiento de documentos Word, habilitar la edicion colaborativa en tiempo real por multiples departamentos y ofrecer un sistema de notificaciones automatizadas, Glory Service Workflow reduce drasticamente los tiempos de ciclo y mejora la calidad del servicio entregado.</w:t>
      </w:r>
    </w:p>
    <w:p>
      <w:pPr>
        <w:spacing w:after="120" w:line="312"/>
        <w:jc w:val="both"/>
      </w:pPr>
      <w:r>
        <w:rPr>
          <w:rFonts w:ascii="Calibri"/>
          <w:color w:val="182030"/>
          <w:sz w:val="24"/>
          <w:szCs w:val="24"/>
        </w:rPr>
        <w:t xml:space="preserve">El modelo de negocio se basa en una arquitectura SaaS (Software as a Service) con planes de suscripcion escalables que se adaptan tanto a pequenas empresas como a grandes corporaciones. La propuesta de valor se articula en tres pilares fundamentales: automatizacion inteligente de procesos, colaboracion sin fricciones entre areas, y visibilidad total del estado de cada flujo de trabajo en tiempo real.</w:t>
      </w:r>
    </w:p>
    <w:p>
      <w:pPr>
        <w:pStyle w:val="Heading1"/>
        <w:spacing w:after="200" w:before="480"/>
      </w:pPr>
      <w:bookmarkStart w:id="100001" w:name="_Toc100001"/>
      <w:r>
        <w:rPr>
          <w:rFonts w:ascii="Times New Roman"/>
          <w:b/>
          <w:bCs/>
          <w:color w:val="0F2027"/>
          <w:sz w:val="32"/>
          <w:szCs w:val="32"/>
        </w:rPr>
        <w:t xml:space="preserve">2. El Problema</w:t>
      </w:r>
      <w:bookmarkEnd w:id="100001"/>
    </w:p>
    <w:p>
      <w:pPr>
        <w:spacing w:after="120" w:line="312"/>
        <w:jc w:val="both"/>
      </w:pPr>
      <w:r>
        <w:rPr>
          <w:rFonts w:ascii="Calibri"/>
          <w:color w:val="182030"/>
          <w:sz w:val="24"/>
          <w:szCs w:val="24"/>
        </w:rPr>
        <w:t xml:space="preserve">Las empresas de servicios enfrentan desafios operativos significativos derivados de la gestion manual de documentos y la falta de herramientas digitales adecuadas para coordinar el trabajo entre multiples departamentos. Estos problemas no solo impactan la eficiencia interna, sino que afectan directamente la experiencia del cliente final y la rentabilidad del negocio.</w:t>
      </w:r>
    </w:p>
    <w:p>
      <w:pPr>
        <w:pStyle w:val="Heading2"/>
        <w:spacing w:after="160" w:before="360"/>
      </w:pPr>
      <w:bookmarkStart w:id="100002" w:name="_Toc100002"/>
      <w:r>
        <w:rPr>
          <w:rFonts w:ascii="Times New Roman"/>
          <w:b/>
          <w:bCs/>
          <w:color w:val="0F2027"/>
          <w:sz w:val="28"/>
          <w:szCs w:val="28"/>
        </w:rPr>
        <w:t xml:space="preserve">2.1 Gestion Manual de Documentos</w:t>
      </w:r>
      <w:bookmarkEnd w:id="100002"/>
    </w:p>
    <w:p>
      <w:pPr>
        <w:spacing w:after="120" w:line="312"/>
        <w:jc w:val="both"/>
      </w:pPr>
      <w:r>
        <w:rPr>
          <w:rFonts w:ascii="Calibri"/>
          <w:color w:val="182030"/>
          <w:sz w:val="24"/>
          <w:szCs w:val="24"/>
        </w:rPr>
        <w:t xml:space="preserve">En la mayoria de las organizaciones de servicios, los documentos clave como ordenes de servicio, cotizaciones, facturas y contratos se procesan de forma manual. Esto implica el uso fisico o digital de multiples versiones de documentos Word que circulan entre departamentos por correo electronico, mensajeria instantanea o incluso en formato impreso. Cada transferencia manual introduce el riesgo de perder informacion, utilizar versiones desactualizadas y duplicar esfuerzos innecesariamente. Estudios del sector indican que los empleados pueden dedicar hasta un 30% de su tiempo a tareas administrativas relacionadas con la busqueda, gestion y distribucion de documentos.</w:t>
      </w:r>
    </w:p>
    <w:p>
      <w:pPr>
        <w:pStyle w:val="Heading2"/>
        <w:spacing w:after="160" w:before="360"/>
      </w:pPr>
      <w:bookmarkStart w:id="100003" w:name="_Toc100003"/>
      <w:r>
        <w:rPr>
          <w:rFonts w:ascii="Times New Roman"/>
          <w:b/>
          <w:bCs/>
          <w:color w:val="0F2027"/>
          <w:sz w:val="28"/>
          <w:szCs w:val="28"/>
        </w:rPr>
        <w:t xml:space="preserve">2.2 Falta de Visibilidad en el Progreso</w:t>
      </w:r>
      <w:bookmarkEnd w:id="100003"/>
    </w:p>
    <w:p>
      <w:pPr>
        <w:spacing w:after="120" w:line="312"/>
        <w:jc w:val="both"/>
      </w:pPr>
      <w:r>
        <w:rPr>
          <w:rFonts w:ascii="Calibri"/>
          <w:color w:val="182030"/>
          <w:sz w:val="24"/>
          <w:szCs w:val="24"/>
        </w:rPr>
        <w:t xml:space="preserve">Cuando los documentos se mueven manualmente entre areas, los supervisores y gerentes carecen de una vista unificada del estado de cada flujo de trabajo. Es imposible saber con certeza en que etapa se encuentra una orden de servicio especifica, quien es responsable de la siguiente accion, o cuanto tiempo ha transcurrido en cada fase del proceso. Esta opacidad genera incertidumbre, retrazos en la toma de decisiones y dificultades para identificar cuellos de botella operativos que degradan el rendimiento global de la organizacion.</w:t>
      </w:r>
    </w:p>
    <w:p>
      <w:pPr>
        <w:pStyle w:val="Heading2"/>
        <w:spacing w:after="160" w:before="360"/>
      </w:pPr>
      <w:bookmarkStart w:id="100004" w:name="_Toc100004"/>
      <w:r>
        <w:rPr>
          <w:rFonts w:ascii="Times New Roman"/>
          <w:b/>
          <w:bCs/>
          <w:color w:val="0F2027"/>
          <w:sz w:val="28"/>
          <w:szCs w:val="28"/>
        </w:rPr>
        <w:t xml:space="preserve">2.3 Brechas de Comunicacion entre Areas</w:t>
      </w:r>
      <w:bookmarkEnd w:id="100004"/>
    </w:p>
    <w:p>
      <w:pPr>
        <w:spacing w:after="120" w:line="312"/>
        <w:jc w:val="both"/>
      </w:pPr>
      <w:r>
        <w:rPr>
          <w:rFonts w:ascii="Calibri"/>
          <w:color w:val="182030"/>
          <w:sz w:val="24"/>
          <w:szCs w:val="24"/>
        </w:rPr>
        <w:t xml:space="preserve">La ausencia de un canal de comunicacion estructurado y vinculado a los documentos de trabajo produce brechas de informacion entre los cinco areas clave del ciclo de servicio. El Despachador inicia el flujo, el Ejecutivo de Servicio ejecuta la labor, el area de Contabilidad genera la facturacion, el Soporte de Servicio brinda asistencia continua, y la Cadena de Suministro gestiona los materiales necesarios. Sin una plataforma integrada, cada area opera de forma aislada, lo que provoca duplicidad de esfuerzos, contradicciones en la informacion y una experiencia fragmentada tanto para los empleados internos como para los clientes externos.</w:t>
      </w:r>
    </w:p>
    <w:p>
      <w:pPr>
        <w:pStyle w:val="Heading2"/>
        <w:spacing w:after="160" w:before="360"/>
      </w:pPr>
      <w:bookmarkStart w:id="100005" w:name="_Toc100005"/>
      <w:r>
        <w:rPr>
          <w:rFonts w:ascii="Times New Roman"/>
          <w:b/>
          <w:bCs/>
          <w:color w:val="0F2027"/>
          <w:sz w:val="28"/>
          <w:szCs w:val="28"/>
        </w:rPr>
        <w:t xml:space="preserve">2.4 Tiempo Perdido en el Seguimiento</w:t>
      </w:r>
      <w:bookmarkEnd w:id="100005"/>
    </w:p>
    <w:p>
      <w:pPr>
        <w:spacing w:after="120" w:line="312"/>
        <w:jc w:val="both"/>
      </w:pPr>
      <w:r>
        <w:rPr>
          <w:rFonts w:ascii="Calibri"/>
          <w:color w:val="182030"/>
          <w:sz w:val="24"/>
          <w:szCs w:val="24"/>
        </w:rPr>
        <w:t xml:space="preserve">El seguimiento manual del estado de documentos y tareas consume una cantidad desproporcionada de tiempo. Los empleados dedican horas cada semana a verificar el progreso de ordenes, realizar seguimiento por correo electronico o telefono, y reconstruir el historial de acciones realizadas sobre cada documento. Este tiempo invertido en tareas de baja valuagregada podria redirigirse hacia actividades estrategicas que generen mayor impacto para el negocio, como la atencion directa al cliente, la mejora de procesos o el desarrollo de nuevas lineas de servicio.</w:t>
      </w:r>
    </w:p>
    <w:p>
      <w:pPr>
        <w:pStyle w:val="Heading2"/>
        <w:spacing w:after="160" w:before="360"/>
      </w:pPr>
      <w:bookmarkStart w:id="100006" w:name="_Toc100006"/>
      <w:r>
        <w:rPr>
          <w:rFonts w:ascii="Times New Roman"/>
          <w:b/>
          <w:bCs/>
          <w:color w:val="0F2027"/>
          <w:sz w:val="28"/>
          <w:szCs w:val="28"/>
        </w:rPr>
        <w:t xml:space="preserve">2.5 Errores y Retrabajo</w:t>
      </w:r>
      <w:bookmarkEnd w:id="100006"/>
    </w:p>
    <w:p>
      <w:pPr>
        <w:spacing w:after="120" w:line="312"/>
        <w:jc w:val="both"/>
      </w:pPr>
      <w:r>
        <w:rPr>
          <w:rFonts w:ascii="Calibri"/>
          <w:color w:val="182030"/>
          <w:sz w:val="24"/>
          <w:szCs w:val="24"/>
        </w:rPr>
        <w:t xml:space="preserve">La comunicacion fragmentada y la manipulacion manual de documentos generan una tasa significativa de errores que requieren retrabajo. Numeros de orden incorrectos, datos del cliente desactualizados, aprobaciones duplicadas o inexistentes, y discrepancias entre la informacion registrada por diferentes areas son problemas recurrentes que no solo incrementan los costos operativos, sino que erosionan la confianza del cliente y la credibilidad de la organizacion. Cada error requiere un ciclo adicional de verificacion, correccion y aprobacion que multiplica el tiempo total de procesamiento.</w:t>
      </w:r>
    </w:p>
    <w:p>
      <w:pPr>
        <w:pStyle w:val="Heading1"/>
        <w:spacing w:after="200" w:before="480"/>
      </w:pPr>
      <w:bookmarkStart w:id="100007" w:name="_Toc100007"/>
      <w:r>
        <w:rPr>
          <w:rFonts w:ascii="Times New Roman"/>
          <w:b/>
          <w:bCs/>
          <w:color w:val="0F2027"/>
          <w:sz w:val="32"/>
          <w:szCs w:val="32"/>
        </w:rPr>
        <w:t xml:space="preserve">3. La Solucion</w:t>
      </w:r>
      <w:bookmarkEnd w:id="100007"/>
    </w:p>
    <w:p>
      <w:pPr>
        <w:spacing w:after="120" w:line="312"/>
        <w:jc w:val="both"/>
      </w:pPr>
      <w:r>
        <w:rPr>
          <w:rFonts w:ascii="Calibri"/>
          <w:color w:val="182030"/>
          <w:sz w:val="24"/>
          <w:szCs w:val="24"/>
        </w:rPr>
        <w:t xml:space="preserve">Glory Service Workflow es una plataforma web que centraliza, automatiza y optimiza todo el ciclo de vida de los flujos de trabajo de servicio. Diseada desde cero para resolver los desafios operativos descritos anteriormente, la solucion integra herramientas de gestion documental, colaboracion en tiempo real y seguimiento inteligente en una interfaz unificada e intuitiva.</w:t>
      </w:r>
    </w:p>
    <w:p>
      <w:pPr>
        <w:pStyle w:val="Heading2"/>
        <w:spacing w:after="160" w:before="360"/>
      </w:pPr>
      <w:bookmarkStart w:id="100008" w:name="_Toc100008"/>
      <w:r>
        <w:rPr>
          <w:rFonts w:ascii="Times New Roman"/>
          <w:b/>
          <w:bCs/>
          <w:color w:val="0F2027"/>
          <w:sz w:val="28"/>
          <w:szCs w:val="28"/>
        </w:rPr>
        <w:t xml:space="preserve">3.1 Gestion Automatizada de Flujos de Trabajo</w:t>
      </w:r>
      <w:bookmarkEnd w:id="100008"/>
    </w:p>
    <w:p>
      <w:pPr>
        <w:spacing w:after="120" w:line="312"/>
        <w:jc w:val="both"/>
      </w:pPr>
      <w:r>
        <w:rPr>
          <w:rFonts w:ascii="Calibri"/>
          <w:color w:val="182030"/>
          <w:sz w:val="24"/>
          <w:szCs w:val="24"/>
        </w:rPr>
        <w:t xml:space="preserve">La plataforma implementa motores de flujo de trabajo que automatizan el enrutamiento de documentos entre las diferentes areas de la organizacion. Cada orden de servicio sigue un camino predefinido y configurable que asegura que todas las etapas del proceso se completen en el orden correcto y por el personal designado. El sistema permite definir reglas de enrutamiento condicional, tiempos de espera automaticos y escalamientos cuando una tarea excede el plazo establecido, eliminando la necesidad de seguimiento manual y reduciendo los tiempos de respuesta.</w:t>
      </w:r>
    </w:p>
    <w:p>
      <w:pPr>
        <w:pStyle w:val="Heading2"/>
        <w:spacing w:after="160" w:before="360"/>
      </w:pPr>
      <w:bookmarkStart w:id="100009" w:name="_Toc100009"/>
      <w:r>
        <w:rPr>
          <w:rFonts w:ascii="Times New Roman"/>
          <w:b/>
          <w:bCs/>
          <w:color w:val="0F2027"/>
          <w:sz w:val="28"/>
          <w:szCs w:val="28"/>
        </w:rPr>
        <w:t xml:space="preserve">3.2 Carga y Procesamiento de Documentos Word</w:t>
      </w:r>
      <w:bookmarkEnd w:id="100009"/>
    </w:p>
    <w:p>
      <w:pPr>
        <w:spacing w:after="120" w:line="312"/>
        <w:jc w:val="both"/>
      </w:pPr>
      <w:r>
        <w:rPr>
          <w:rFonts w:ascii="Calibri"/>
          <w:color w:val="182030"/>
          <w:sz w:val="24"/>
          <w:szCs w:val="24"/>
        </w:rPr>
        <w:t xml:space="preserve">Los usuarios pueden cargar documentos Word (.docx) directamente en la plataforma, donde son procesados, almacenados y puestos a disposicion de todas las areas involucradas. El sistema mantiene un control de versiones que permite rastrear cada modificacion realizada, identificar al autor de cada cambio y revertir a versiones anteriores cuando sea necesario. Esta capacidad garantiza que todos los departamentos trabajen siempre con la version mas actualizada del documento, eliminando la confusion generada por multiples copias que circulan simultaneamente por diferentes canales.</w:t>
      </w:r>
    </w:p>
    <w:p>
      <w:pPr>
        <w:pStyle w:val="Heading2"/>
        <w:spacing w:after="160" w:before="360"/>
      </w:pPr>
      <w:bookmarkStart w:id="100010" w:name="_Toc100010"/>
      <w:r>
        <w:rPr>
          <w:rFonts w:ascii="Times New Roman"/>
          <w:b/>
          <w:bCs/>
          <w:color w:val="0F2027"/>
          <w:sz w:val="28"/>
          <w:szCs w:val="28"/>
        </w:rPr>
        <w:t xml:space="preserve">3.3 Edicion Colaborativa en Campo</w:t>
      </w:r>
      <w:bookmarkEnd w:id="100010"/>
    </w:p>
    <w:p>
      <w:pPr>
        <w:spacing w:after="120" w:line="312"/>
        <w:jc w:val="both"/>
      </w:pPr>
      <w:r>
        <w:rPr>
          <w:rFonts w:ascii="Calibri"/>
          <w:color w:val="182030"/>
          <w:sz w:val="24"/>
          <w:szCs w:val="24"/>
        </w:rPr>
        <w:t xml:space="preserve">Una de las funcionalidades mas poderosas de Glory Service Workflow es la capacidad de edicion colaborativa en tiempo real. Los cinco areas clave del ciclo de servicio pueden acceder, editar y complementar informacion dentro del mismo documento de forma simultanea:</w:t>
      </w:r>
    </w:p>
    <w:tbl>
      <w:tblPr>
        <w:tblW w:type="pct" w:w="100%"/>
        <w:tblBorders>
          <w:top w:val="single" w:color="0F2027" w:sz="2"/>
          <w:left w:val="none"/>
          <w:bottom w:val="single" w:color="0F2027" w:sz="2"/>
          <w:right w:val="none"/>
          <w:insideH w:val="single" w:color="D0D0D0" w:sz="1"/>
          <w:insideV w:val="none"/>
        </w:tblBorders>
      </w:tblPr>
      <w:tblGrid>
        <w:gridCol w:w="100"/>
        <w:gridCol w:w="100"/>
        <w:gridCol w:w="100"/>
      </w:tblGrid>
      <w:tr>
        <w:trPr>
          <w:cantSplit/>
          <w:tblHeader/>
        </w:trPr>
        <w:tc>
          <w:tcPr>
            <w:shd w:fill="0F2027" w:val="clear"/>
            <w:tcMar>
              <w:top w:type="dxa" w:w="60"/>
              <w:left w:type="dxa" w:w="120"/>
              <w:bottom w:type="dxa" w:w="60"/>
              <w:right w:type="dxa" w:w="120"/>
            </w:tcMar>
          </w:tcPr>
          <w:p>
            <w:pPr>
              <w:jc w:val="center"/>
            </w:pPr>
            <w:r>
              <w:rPr>
                <w:rFonts w:ascii="Calibri"/>
                <w:b/>
                <w:bCs/>
                <w:color w:val="FFFFFF"/>
                <w:sz w:val="21"/>
                <w:szCs w:val="21"/>
              </w:rPr>
              <w:t xml:space="preserve">Area</w:t>
            </w:r>
          </w:p>
        </w:tc>
        <w:tc>
          <w:tcPr>
            <w:shd w:fill="0F2027" w:val="clear"/>
            <w:tcMar>
              <w:top w:type="dxa" w:w="60"/>
              <w:left w:type="dxa" w:w="120"/>
              <w:bottom w:type="dxa" w:w="60"/>
              <w:right w:type="dxa" w:w="120"/>
            </w:tcMar>
          </w:tcPr>
          <w:p>
            <w:pPr>
              <w:jc w:val="center"/>
            </w:pPr>
            <w:r>
              <w:rPr>
                <w:rFonts w:ascii="Calibri"/>
                <w:b/>
                <w:bCs/>
                <w:color w:val="FFFFFF"/>
                <w:sz w:val="21"/>
                <w:szCs w:val="21"/>
              </w:rPr>
              <w:t xml:space="preserve">Funcion Principal</w:t>
            </w:r>
          </w:p>
        </w:tc>
        <w:tc>
          <w:tcPr>
            <w:shd w:fill="0F2027" w:val="clear"/>
            <w:tcMar>
              <w:top w:type="dxa" w:w="60"/>
              <w:left w:type="dxa" w:w="120"/>
              <w:bottom w:type="dxa" w:w="60"/>
              <w:right w:type="dxa" w:w="120"/>
            </w:tcMar>
          </w:tcPr>
          <w:p>
            <w:pPr>
              <w:jc w:val="center"/>
            </w:pPr>
            <w:r>
              <w:rPr>
                <w:rFonts w:ascii="Calibri"/>
                <w:b/>
                <w:bCs/>
                <w:color w:val="FFFFFF"/>
                <w:sz w:val="21"/>
                <w:szCs w:val="21"/>
              </w:rPr>
              <w:t xml:space="preserve">Campos de Edicion</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Despachador</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Inicio del flujo y asignacion</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Datos del cliente, tipo de servicio, prioridad</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Ejecutivo de Servicio</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Ejecucion de la labor</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Detalle de actividades, materiales usados, observaciones</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Contabilidad</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Facturacion y cobro</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Datos de facturacion, metodos de pago, estados de cuenta</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Soporte de Servicio</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Asistencia y seguimiento</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Quejas, reclamos, seguimiento post-servicio</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Cadena de Suministro</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Gestion de materiales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Inventario, pedidos, proveedores, entregas</w:t>
            </w:r>
          </w:p>
        </w:tc>
      </w:tr>
    </w:tbl>
    <w:p>
      <w:pPr>
        <w:spacing w:after="200"/>
      </w:pPr>
    </w:p>
    <w:p>
      <w:pPr>
        <w:pStyle w:val="Heading2"/>
        <w:spacing w:after="160" w:before="360"/>
      </w:pPr>
      <w:bookmarkStart w:id="100011" w:name="_Toc100011"/>
      <w:r>
        <w:rPr>
          <w:rFonts w:ascii="Times New Roman"/>
          <w:b/>
          <w:bCs/>
          <w:color w:val="0F2027"/>
          <w:sz w:val="28"/>
          <w:szCs w:val="28"/>
        </w:rPr>
        <w:t xml:space="preserve">3.4 Notificaciones en Tiempo Real</w:t>
      </w:r>
      <w:bookmarkEnd w:id="100011"/>
    </w:p>
    <w:p>
      <w:pPr>
        <w:spacing w:after="120" w:line="312"/>
        <w:jc w:val="both"/>
      </w:pPr>
      <w:r>
        <w:rPr>
          <w:rFonts w:ascii="Calibri"/>
          <w:color w:val="182030"/>
          <w:sz w:val="24"/>
          <w:szCs w:val="24"/>
        </w:rPr>
        <w:t xml:space="preserve">El sistema de notificaciones inteligente mantiene informados a todos los participantes del flujo de trabajo sobre eventos relevantes. Cuando un documento avanza a la siguiente etapa, cuando se requiere una accion especifica de un area, o cuando se detecta un retraso, el sistema genera notificaciones automaticas a traves de multiples canales: notificaciones dentro de la plataforma, correo electronico y alertas push. Esta capacidad asegura que ninguna tarea quede olvidada y que los tiempos de respuesta se minimicen de forma consistente.</w:t>
      </w:r>
    </w:p>
    <w:p>
      <w:pPr>
        <w:pStyle w:val="Heading2"/>
        <w:spacing w:after="160" w:before="360"/>
      </w:pPr>
      <w:bookmarkStart w:id="100012" w:name="_Toc100012"/>
      <w:r>
        <w:rPr>
          <w:rFonts w:ascii="Times New Roman"/>
          <w:b/>
          <w:bCs/>
          <w:color w:val="0F2027"/>
          <w:sz w:val="28"/>
          <w:szCs w:val="28"/>
        </w:rPr>
        <w:t xml:space="preserve">3.5 Descarga de Documentos Completados</w:t>
      </w:r>
      <w:bookmarkEnd w:id="100012"/>
    </w:p>
    <w:p>
      <w:pPr>
        <w:spacing w:after="120" w:line="312"/>
        <w:jc w:val="both"/>
      </w:pPr>
      <w:r>
        <w:rPr>
          <w:rFonts w:ascii="Calibri"/>
          <w:color w:val="182030"/>
          <w:sz w:val="24"/>
          <w:szCs w:val="24"/>
        </w:rPr>
        <w:t xml:space="preserve">Una vez que todas las areas han completado su contribucion y el flujo de trabajo alcanza su estado final, la plataforma permite descargar el documento Word consolidado con todas las modificaciones realizadas por cada departamento. Esta funcionalidad facilita el archivo documental, la presentacion al cliente y el cumplimiento de requisitos regulatorios que exigen documentacion completa y trazable de cada servicio prestado.</w:t>
      </w:r>
    </w:p>
    <w:p>
      <w:pPr>
        <w:pStyle w:val="Heading2"/>
        <w:spacing w:after="160" w:before="360"/>
      </w:pPr>
      <w:bookmarkStart w:id="100013" w:name="_Toc100013"/>
      <w:r>
        <w:rPr>
          <w:rFonts w:ascii="Times New Roman"/>
          <w:b/>
          <w:bCs/>
          <w:color w:val="0F2027"/>
          <w:sz w:val="28"/>
          <w:szCs w:val="28"/>
        </w:rPr>
        <w:t xml:space="preserve">3.6 Dashboard con Seguimiento de Progreso</w:t>
      </w:r>
      <w:bookmarkEnd w:id="100013"/>
    </w:p>
    <w:p>
      <w:pPr>
        <w:spacing w:after="120" w:line="312"/>
        <w:jc w:val="both"/>
      </w:pPr>
      <w:r>
        <w:rPr>
          <w:rFonts w:ascii="Calibri"/>
          <w:color w:val="182030"/>
          <w:sz w:val="24"/>
          <w:szCs w:val="24"/>
        </w:rPr>
        <w:t xml:space="preserve">El panel de control principal ofrece una vista integral del estado de todos los flujos de trabajo activos, en espera y completados. Los gerentes y supervisores pueden visualizar en tiempo real el volumen de ordenes en cada etapa, identificar retrazos, analizar tendencias historicas y tomar decisiones informadas basadas en datos concretos. El dashboard incluye graficos interactivos, filtros avanzados y la capacidad de exportar reportes personalizados para el analisis gerencial.</w:t>
      </w:r>
    </w:p>
    <w:p>
      <w:pPr>
        <w:pStyle w:val="Heading1"/>
        <w:spacing w:after="200" w:before="480"/>
      </w:pPr>
      <w:bookmarkStart w:id="100014" w:name="_Toc100014"/>
      <w:r>
        <w:rPr>
          <w:rFonts w:ascii="Times New Roman"/>
          <w:b/>
          <w:bCs/>
          <w:color w:val="0F2027"/>
          <w:sz w:val="32"/>
          <w:szCs w:val="32"/>
        </w:rPr>
        <w:t xml:space="preserve">4. Caracteristicas Principales</w:t>
      </w:r>
      <w:bookmarkEnd w:id="100014"/>
    </w:p>
    <w:p>
      <w:pPr>
        <w:spacing w:after="120" w:line="312"/>
        <w:jc w:val="both"/>
      </w:pPr>
      <w:r>
        <w:rPr>
          <w:rFonts w:ascii="Calibri"/>
          <w:color w:val="182030"/>
          <w:sz w:val="24"/>
          <w:szCs w:val="24"/>
        </w:rPr>
        <w:t xml:space="preserve">Glory Service Workflow incorpora un conjunto robusto de funcionalidades disenadas para cubrir todas las necesidades del ciclo de servicio:</w:t>
      </w:r>
    </w:p>
    <w:tbl>
      <w:tblPr>
        <w:tblW w:type="pct" w:w="100%"/>
        <w:tblBorders>
          <w:top w:val="single" w:color="0F2027" w:sz="2"/>
          <w:left w:val="none"/>
          <w:bottom w:val="single" w:color="0F2027" w:sz="2"/>
          <w:right w:val="none"/>
          <w:insideH w:val="single" w:color="D0D0D0" w:sz="1"/>
          <w:insideV w:val="none"/>
        </w:tblBorders>
      </w:tblPr>
      <w:tblGrid>
        <w:gridCol w:w="100"/>
        <w:gridCol w:w="100"/>
      </w:tblGrid>
      <w:tr>
        <w:trPr>
          <w:cantSplit/>
          <w:tblHeader/>
        </w:trPr>
        <w:tc>
          <w:tcPr>
            <w:shd w:fill="0F2027" w:val="clear"/>
            <w:tcMar>
              <w:top w:type="dxa" w:w="60"/>
              <w:left w:type="dxa" w:w="120"/>
              <w:bottom w:type="dxa" w:w="60"/>
              <w:right w:type="dxa" w:w="120"/>
            </w:tcMar>
          </w:tcPr>
          <w:p>
            <w:pPr>
              <w:jc w:val="center"/>
            </w:pPr>
            <w:r>
              <w:rPr>
                <w:rFonts w:ascii="Calibri"/>
                <w:b/>
                <w:bCs/>
                <w:color w:val="FFFFFF"/>
                <w:sz w:val="21"/>
                <w:szCs w:val="21"/>
              </w:rPr>
              <w:t xml:space="preserve">Caracteristica</w:t>
            </w:r>
          </w:p>
        </w:tc>
        <w:tc>
          <w:tcPr>
            <w:shd w:fill="0F2027" w:val="clear"/>
            <w:tcMar>
              <w:top w:type="dxa" w:w="60"/>
              <w:left w:type="dxa" w:w="120"/>
              <w:bottom w:type="dxa" w:w="60"/>
              <w:right w:type="dxa" w:w="120"/>
            </w:tcMar>
          </w:tcPr>
          <w:p>
            <w:pPr>
              <w:jc w:val="center"/>
            </w:pPr>
            <w:r>
              <w:rPr>
                <w:rFonts w:ascii="Calibri"/>
                <w:b/>
                <w:bCs/>
                <w:color w:val="FFFFFF"/>
                <w:sz w:val="21"/>
                <w:szCs w:val="21"/>
              </w:rPr>
              <w:t xml:space="preserve">Descripcion</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Motor de Flujos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Automatizacion del enrutamiento y seguimiento de ordenes entre departamentos</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Gestion Documental</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Carga, versionado y almacenamiento seguro de documentos Word</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Edicion Multiarea</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Campos editables personalizados para cada uno de los cinco departamentos</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Notificaciones</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Alertas automaticas por email, push y notificaciones en plataforma</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Control de Versiones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Historial completo de cambios con capacidad de reversión</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Dashboard Gerencial</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Panel de control con graficos, KPIs y reportes exportables</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Roles y Permisos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Control granular de acceso por area y nivel de responsabilidad</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Integracion API</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Endpoints RESTful para integracion con sistemas externos (ERP, CRM)</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Reportes Avanzados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Generacion de reportes de productividad, tiempos y eficiencia</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Multi-tenant</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Arquitectura multitenant para gestion de multiples organizaciones</w:t>
            </w:r>
          </w:p>
        </w:tc>
      </w:tr>
    </w:tbl>
    <w:p>
      <w:pPr>
        <w:spacing w:after="200"/>
      </w:pPr>
    </w:p>
    <w:p>
      <w:pPr>
        <w:pStyle w:val="Heading1"/>
        <w:spacing w:after="200" w:before="480"/>
      </w:pPr>
      <w:bookmarkStart w:id="100015" w:name="_Toc100015"/>
      <w:r>
        <w:rPr>
          <w:rFonts w:ascii="Times New Roman"/>
          <w:b/>
          <w:bCs/>
          <w:color w:val="0F2027"/>
          <w:sz w:val="32"/>
          <w:szCs w:val="32"/>
        </w:rPr>
        <w:t xml:space="preserve">5. Modelo de Negocio</w:t>
      </w:r>
      <w:bookmarkEnd w:id="100015"/>
    </w:p>
    <w:p>
      <w:pPr>
        <w:pStyle w:val="Heading2"/>
        <w:spacing w:after="160" w:before="360"/>
      </w:pPr>
      <w:bookmarkStart w:id="100016" w:name="_Toc100016"/>
      <w:r>
        <w:rPr>
          <w:rFonts w:ascii="Times New Roman"/>
          <w:b/>
          <w:bCs/>
          <w:color w:val="0F2027"/>
          <w:sz w:val="28"/>
          <w:szCs w:val="28"/>
        </w:rPr>
        <w:t xml:space="preserve">5.1 Modelo de Ingresos (Suscripcion SaaS)</w:t>
      </w:r>
      <w:bookmarkEnd w:id="100016"/>
    </w:p>
    <w:p>
      <w:pPr>
        <w:spacing w:after="120" w:line="312"/>
        <w:jc w:val="both"/>
      </w:pPr>
      <w:r>
        <w:rPr>
          <w:rFonts w:ascii="Calibri"/>
          <w:color w:val="182030"/>
          <w:sz w:val="24"/>
          <w:szCs w:val="24"/>
        </w:rPr>
        <w:t xml:space="preserve">El modelo de ingresos de Glory Service Workflow se basa en suscripciones mensuales o anuales con tres niveles de servicio que se adaptan al tamano y complejidad de cada organizacion:</w:t>
      </w:r>
    </w:p>
    <w:tbl>
      <w:tblPr>
        <w:tblW w:type="pct" w:w="100%"/>
        <w:tblBorders>
          <w:top w:val="single" w:color="0F2027" w:sz="2"/>
          <w:left w:val="none"/>
          <w:bottom w:val="single" w:color="0F2027" w:sz="2"/>
          <w:right w:val="none"/>
          <w:insideH w:val="single" w:color="D0D0D0" w:sz="1"/>
          <w:insideV w:val="none"/>
        </w:tblBorders>
      </w:tblPr>
      <w:tblGrid>
        <w:gridCol w:w="100"/>
        <w:gridCol w:w="100"/>
        <w:gridCol w:w="100"/>
        <w:gridCol w:w="100"/>
      </w:tblGrid>
      <w:tr>
        <w:trPr>
          <w:cantSplit/>
          <w:tblHeader/>
        </w:trPr>
        <w:tc>
          <w:tcPr>
            <w:shd w:fill="0F2027" w:val="clear"/>
            <w:tcMar>
              <w:top w:type="dxa" w:w="60"/>
              <w:left w:type="dxa" w:w="120"/>
              <w:bottom w:type="dxa" w:w="60"/>
              <w:right w:type="dxa" w:w="120"/>
            </w:tcMar>
          </w:tcPr>
          <w:p>
            <w:pPr>
              <w:jc w:val="center"/>
            </w:pPr>
            <w:r>
              <w:rPr>
                <w:rFonts w:ascii="Calibri"/>
                <w:b/>
                <w:bCs/>
                <w:color w:val="FFFFFF"/>
                <w:sz w:val="21"/>
                <w:szCs w:val="21"/>
              </w:rPr>
              <w:t xml:space="preserve">Plan</w:t>
            </w:r>
          </w:p>
        </w:tc>
        <w:tc>
          <w:tcPr>
            <w:shd w:fill="0F2027" w:val="clear"/>
            <w:tcMar>
              <w:top w:type="dxa" w:w="60"/>
              <w:left w:type="dxa" w:w="120"/>
              <w:bottom w:type="dxa" w:w="60"/>
              <w:right w:type="dxa" w:w="120"/>
            </w:tcMar>
          </w:tcPr>
          <w:p>
            <w:pPr>
              <w:jc w:val="center"/>
            </w:pPr>
            <w:r>
              <w:rPr>
                <w:rFonts w:ascii="Calibri"/>
                <w:b/>
                <w:bCs/>
                <w:color w:val="FFFFFF"/>
                <w:sz w:val="21"/>
                <w:szCs w:val="21"/>
              </w:rPr>
              <w:t xml:space="preserve">Precio Mensual</w:t>
            </w:r>
          </w:p>
        </w:tc>
        <w:tc>
          <w:tcPr>
            <w:shd w:fill="0F2027" w:val="clear"/>
            <w:tcMar>
              <w:top w:type="dxa" w:w="60"/>
              <w:left w:type="dxa" w:w="120"/>
              <w:bottom w:type="dxa" w:w="60"/>
              <w:right w:type="dxa" w:w="120"/>
            </w:tcMar>
          </w:tcPr>
          <w:p>
            <w:pPr>
              <w:jc w:val="center"/>
            </w:pPr>
            <w:r>
              <w:rPr>
                <w:rFonts w:ascii="Calibri"/>
                <w:b/>
                <w:bCs/>
                <w:color w:val="FFFFFF"/>
                <w:sz w:val="21"/>
                <w:szCs w:val="21"/>
              </w:rPr>
              <w:t xml:space="preserve">Usuarios</w:t>
            </w:r>
          </w:p>
        </w:tc>
        <w:tc>
          <w:tcPr>
            <w:shd w:fill="0F2027" w:val="clear"/>
            <w:tcMar>
              <w:top w:type="dxa" w:w="60"/>
              <w:left w:type="dxa" w:w="120"/>
              <w:bottom w:type="dxa" w:w="60"/>
              <w:right w:type="dxa" w:w="120"/>
            </w:tcMar>
          </w:tcPr>
          <w:p>
            <w:pPr>
              <w:jc w:val="center"/>
            </w:pPr>
            <w:r>
              <w:rPr>
                <w:rFonts w:ascii="Calibri"/>
                <w:b/>
                <w:bCs/>
                <w:color w:val="FFFFFF"/>
                <w:sz w:val="21"/>
                <w:szCs w:val="21"/>
              </w:rPr>
              <w:t xml:space="preserve">Funcionalidades</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Starter</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USD 99/mes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Hasta 10</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Flujos basicos, 2 areas, notificaciones email</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Professional</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USD 299/mes</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Hasta 50</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5 areas, dashboard, API, soporte prioritario</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Enterprise</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Personalizado</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Ilimitados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Multi-tenant, SLA, integracion dedicada, onboarding</w:t>
            </w:r>
          </w:p>
        </w:tc>
      </w:tr>
    </w:tbl>
    <w:p>
      <w:pPr>
        <w:spacing w:after="200"/>
      </w:pPr>
    </w:p>
    <w:p>
      <w:pPr>
        <w:spacing w:after="120" w:line="312"/>
        <w:jc w:val="both"/>
      </w:pPr>
      <w:r>
        <w:rPr>
          <w:rFonts w:ascii="Calibri"/>
          <w:color w:val="182030"/>
          <w:sz w:val="24"/>
          <w:szCs w:val="24"/>
        </w:rPr>
        <w:t xml:space="preserve">El modelo recurrente por suscripcion garantiza un flujo de ingresos predecible y sostenible, al tiempo que permite a los clientes escalar su plan a medida que crece su operacion. Los contratos anuales ofrecen un descuento del 15% respecto a la facturacion mensual, incentivando la retencion a largo plazo.</w:t>
      </w:r>
    </w:p>
    <w:p>
      <w:pPr>
        <w:pStyle w:val="Heading2"/>
        <w:spacing w:after="160" w:before="360"/>
      </w:pPr>
      <w:bookmarkStart w:id="100017" w:name="_Toc100017"/>
      <w:r>
        <w:rPr>
          <w:rFonts w:ascii="Times New Roman"/>
          <w:b/>
          <w:bCs/>
          <w:color w:val="0F2027"/>
          <w:sz w:val="28"/>
          <w:szCs w:val="28"/>
        </w:rPr>
        <w:t xml:space="preserve">5.2 Segmentos de Mercado Objetivo</w:t>
      </w:r>
      <w:bookmarkEnd w:id="100017"/>
    </w:p>
    <w:p>
      <w:pPr>
        <w:spacing w:after="120" w:line="312"/>
        <w:jc w:val="both"/>
      </w:pPr>
      <w:r>
        <w:rPr>
          <w:rFonts w:ascii="Calibri"/>
          <w:color w:val="182030"/>
          <w:sz w:val="24"/>
          <w:szCs w:val="24"/>
        </w:rPr>
        <w:t xml:space="preserve">La plataforma esta disenada para atender las necesidades de tres segmentos principales de mercado:</w:t>
      </w:r>
    </w:p>
    <w:p>
      <w:pPr>
        <w:spacing w:after="120" w:line="312"/>
        <w:jc w:val="both"/>
      </w:pPr>
      <w:r>
        <w:rPr>
          <w:rFonts w:ascii="Calibri"/>
          <w:b/>
          <w:bCs/>
          <w:color w:val="182030"/>
          <w:sz w:val="24"/>
          <w:szCs w:val="24"/>
        </w:rPr>
        <w:t xml:space="preserve">Empresas de Servicios Tecnnicos (50-500 empleados):</w:t>
      </w:r>
    </w:p>
    <w:p>
      <w:pPr>
        <w:spacing w:after="120" w:line="312"/>
        <w:jc w:val="both"/>
      </w:pPr>
      <w:r>
        <w:rPr>
          <w:rFonts w:ascii="Calibri"/>
          <w:color w:val="182030"/>
          <w:sz w:val="24"/>
          <w:szCs w:val="24"/>
        </w:rPr>
        <w:t xml:space="preserve">Companias que ofrecen servicios de instalacion, mantenimiento y reparacion que requieren una coordinacion fluida entre despacho, campo, contabilidad y logistica. Este segmento representa la oportunidad de mercado mas inmediata, ya que sus procesos son inherentemente multi-departamento.</w:t>
      </w:r>
    </w:p>
    <w:p>
      <w:pPr>
        <w:spacing w:after="120" w:line="312"/>
        <w:jc w:val="both"/>
      </w:pPr>
      <w:r>
        <w:rPr>
          <w:rFonts w:ascii="Calibri"/>
          <w:b/>
          <w:bCs/>
          <w:color w:val="182030"/>
          <w:sz w:val="24"/>
          <w:szCs w:val="24"/>
        </w:rPr>
        <w:t xml:space="preserve">Companias de Facility Management (100-1000+ empleados):</w:t>
      </w:r>
    </w:p>
    <w:p>
      <w:pPr>
        <w:spacing w:after="120" w:line="312"/>
        <w:jc w:val="both"/>
      </w:pPr>
      <w:r>
        <w:rPr>
          <w:rFonts w:ascii="Calibri"/>
          <w:color w:val="182030"/>
          <w:sz w:val="24"/>
          <w:szCs w:val="24"/>
        </w:rPr>
        <w:t xml:space="preserve">Organizaciones que gestionan servicios integrales para edificios, plantas industriales o infraestructuras, donde la complejidad de las operaciones requiere herramientas avanzadas de coordinacion y seguimiento.</w:t>
      </w:r>
    </w:p>
    <w:p>
      <w:pPr>
        <w:spacing w:after="120" w:line="312"/>
        <w:jc w:val="both"/>
      </w:pPr>
      <w:r>
        <w:rPr>
          <w:rFonts w:ascii="Calibri"/>
          <w:b/>
          <w:bCs/>
          <w:color w:val="182030"/>
          <w:sz w:val="24"/>
          <w:szCs w:val="24"/>
        </w:rPr>
        <w:t xml:space="preserve">Empresas de Logistica y Distribucion (50-500 empleados):</w:t>
      </w:r>
    </w:p>
    <w:p>
      <w:pPr>
        <w:spacing w:after="120" w:line="312"/>
        <w:jc w:val="both"/>
      </w:pPr>
      <w:r>
        <w:rPr>
          <w:rFonts w:ascii="Calibri"/>
          <w:color w:val="182030"/>
          <w:sz w:val="24"/>
          <w:szCs w:val="24"/>
        </w:rPr>
        <w:t xml:space="preserve">Companias cuyo nucleo operativo involucra la coordinacion entre multiples areas para entregar productos y servicios, desde la recepcion de pedidos hasta la facturacion final.</w:t>
      </w:r>
    </w:p>
    <w:p>
      <w:pPr>
        <w:pStyle w:val="Heading2"/>
        <w:spacing w:after="160" w:before="360"/>
      </w:pPr>
      <w:bookmarkStart w:id="100018" w:name="_Toc100018"/>
      <w:r>
        <w:rPr>
          <w:rFonts w:ascii="Times New Roman"/>
          <w:b/>
          <w:bCs/>
          <w:color w:val="0F2027"/>
          <w:sz w:val="28"/>
          <w:szCs w:val="28"/>
        </w:rPr>
        <w:t xml:space="preserve">5.3 Ventajas Competitivas</w:t>
      </w:r>
      <w:bookmarkEnd w:id="100018"/>
    </w:p>
    <w:p>
      <w:pPr>
        <w:spacing w:after="120" w:line="312"/>
        <w:jc w:val="both"/>
      </w:pPr>
      <w:r>
        <w:rPr>
          <w:rFonts w:ascii="Calibri"/>
          <w:color w:val="182030"/>
          <w:sz w:val="24"/>
          <w:szCs w:val="24"/>
        </w:rPr>
        <w:t xml:space="preserve">Glory Service Workflow se diferencia de soluciones genericas de gestion de proyectos por su enfoque especializado en el ciclo de servicio completo y por las siguientes ventajas competitivas:</w:t>
      </w:r>
    </w:p>
    <w:p>
      <w:pPr>
        <w:spacing w:after="120" w:line="312"/>
        <w:jc w:val="both"/>
      </w:pPr>
      <w:r>
        <w:rPr>
          <w:rFonts w:ascii="Calibri"/>
          <w:color w:val="182030"/>
          <w:sz w:val="24"/>
          <w:szCs w:val="24"/>
        </w:rPr>
        <w:t xml:space="preserve">Especializacion vertical: A diferencia de herramientas horizontales como Trello, Asana o Monday.com, la plataforma esta disenada especificamente para el flujo de trabajo de servicios, con campos, reglas y flujos preconfigurados que eliminan la necesidad de configuracion compleja.</w:t>
      </w:r>
    </w:p>
    <w:p>
      <w:pPr>
        <w:spacing w:after="120" w:line="312"/>
        <w:jc w:val="both"/>
      </w:pPr>
      <w:r>
        <w:rPr>
          <w:rFonts w:ascii="Calibri"/>
          <w:color w:val="182030"/>
          <w:sz w:val="24"/>
          <w:szCs w:val="24"/>
        </w:rPr>
        <w:t xml:space="preserve">Edicion nativa de documentos Word: La capacidad de procesar y editar documentos Word directamente en la plataforma, sin necesidad de conversiones a otros formatos, reduce la curva de aprendizaje y mantiene la compatibilidad con los flujos de trabajo existentes de las organizaciones.</w:t>
      </w:r>
    </w:p>
    <w:p>
      <w:pPr>
        <w:spacing w:after="120" w:line="312"/>
        <w:jc w:val="both"/>
      </w:pPr>
      <w:r>
        <w:rPr>
          <w:rFonts w:ascii="Calibri"/>
          <w:color w:val="182030"/>
          <w:sz w:val="24"/>
          <w:szCs w:val="24"/>
        </w:rPr>
        <w:t xml:space="preserve">Arquitectura de cinco areas: El modelo integrado que conecta automaticamente al Despachador, Ejecutivo de Servicio, Contabilidad, Soporte de Servicio y Cadena de Suministro refleja la estructura real de las empresas de servicios, proporcionando valor inmediato sin personalizaciones extensas.</w:t>
      </w:r>
    </w:p>
    <w:p>
      <w:pPr>
        <w:spacing w:after="120" w:line="312"/>
        <w:jc w:val="both"/>
      </w:pPr>
      <w:r>
        <w:rPr>
          <w:rFonts w:ascii="Calibri"/>
          <w:color w:val="182030"/>
          <w:sz w:val="24"/>
          <w:szCs w:val="24"/>
        </w:rPr>
        <w:t xml:space="preserve">Implementacion rapida: El tiempo promedio de implementacion es de 2 a 4 semanas, significativamente inferior al de soluciones ERP completas que pueden requerir meses de configuracion y adaptacion.</w:t>
      </w:r>
    </w:p>
    <w:p>
      <w:pPr>
        <w:pStyle w:val="Heading2"/>
        <w:spacing w:after="160" w:before="360"/>
      </w:pPr>
      <w:bookmarkStart w:id="100019" w:name="_Toc100019"/>
      <w:r>
        <w:rPr>
          <w:rFonts w:ascii="Times New Roman"/>
          <w:b/>
          <w:bCs/>
          <w:color w:val="0F2027"/>
          <w:sz w:val="28"/>
          <w:szCs w:val="28"/>
        </w:rPr>
        <w:t xml:space="preserve">5.4 Propuesta de Valor Econmica</w:t>
      </w:r>
      <w:bookmarkEnd w:id="100019"/>
    </w:p>
    <w:p>
      <w:pPr>
        <w:spacing w:after="120" w:line="312"/>
        <w:jc w:val="both"/>
      </w:pPr>
      <w:r>
        <w:rPr>
          <w:rFonts w:ascii="Calibri"/>
          <w:color w:val="182030"/>
          <w:sz w:val="24"/>
          <w:szCs w:val="24"/>
        </w:rPr>
        <w:t xml:space="preserve">La propuesta de valor economica se cuantifica en tres dimensiones clave. Primero, la reduccion de tiempos de ciclo: las organizaciones pueden esperar una disminucion del 40% al 60% en el tiempo total de procesamiento de cada orden de servicio. Segundo, la eliminacion de errores: la automatizacion y el control de versiones pueden reducir la tasa de errores documentales en un 70% a 85%. Tercero, la optimizacion de recursos: al eliminar tareas manuales de seguimiento y distribucion, las organizaciones pueden redirigir entre 15% y 25% del tiempo de sus empleados hacia actividades de mayor valor estrategico.</w:t>
      </w:r>
    </w:p>
    <w:p>
      <w:pPr>
        <w:pStyle w:val="Heading1"/>
        <w:spacing w:after="200" w:before="480"/>
      </w:pPr>
      <w:bookmarkStart w:id="100020" w:name="_Toc100020"/>
      <w:r>
        <w:rPr>
          <w:rFonts w:ascii="Times New Roman"/>
          <w:b/>
          <w:bCs/>
          <w:color w:val="0F2027"/>
          <w:sz w:val="32"/>
          <w:szCs w:val="32"/>
        </w:rPr>
        <w:t xml:space="preserve">6. Propuesta de Valor</w:t>
      </w:r>
      <w:bookmarkEnd w:id="100020"/>
    </w:p>
    <w:p>
      <w:pPr>
        <w:spacing w:after="120" w:line="312"/>
        <w:jc w:val="both"/>
      </w:pPr>
      <w:r>
        <w:rPr>
          <w:rFonts w:ascii="Calibri"/>
          <w:color w:val="182030"/>
          <w:sz w:val="24"/>
          <w:szCs w:val="24"/>
        </w:rPr>
        <w:t xml:space="preserve">La propuesta de valor de Glory Service Workflow se articula de manera diferenciada para cada uno de los grupos de interes involucrados:</w:t>
      </w:r>
    </w:p>
    <w:p>
      <w:pPr>
        <w:pStyle w:val="Heading2"/>
        <w:spacing w:after="160" w:before="360"/>
      </w:pPr>
      <w:bookmarkStart w:id="100021" w:name="_Toc100021"/>
      <w:r>
        <w:rPr>
          <w:rFonts w:ascii="Times New Roman"/>
          <w:b/>
          <w:bCs/>
          <w:color w:val="0F2027"/>
          <w:sz w:val="28"/>
          <w:szCs w:val="28"/>
        </w:rPr>
        <w:t xml:space="preserve">6.1 Para Directivos y Gerentes</w:t>
      </w:r>
      <w:bookmarkEnd w:id="100021"/>
    </w:p>
    <w:p>
      <w:pPr>
        <w:spacing w:after="120" w:line="312"/>
        <w:jc w:val="both"/>
      </w:pPr>
      <w:r>
        <w:rPr>
          <w:rFonts w:ascii="Calibri"/>
          <w:color w:val="182030"/>
          <w:sz w:val="24"/>
          <w:szCs w:val="24"/>
        </w:rPr>
        <w:t xml:space="preserve">Visibilidad total del estado operativo de la organizacion a traves de dashboards en tiempo real. Capacidad de tomar decisiones informadas basadas en datos concretos sobre volumenes, tiempos y eficiencia. Reduccion de costos operativos mediante la eliminacion de procesos manuales y la minimizacion de errores que generan retrabajo. Acceso a reportes ejecutivos que facilitan la planificacion estrategica y la identificacion de oportunidades de mejora continua.</w:t>
      </w:r>
    </w:p>
    <w:p>
      <w:pPr>
        <w:pStyle w:val="Heading2"/>
        <w:spacing w:after="160" w:before="360"/>
      </w:pPr>
      <w:bookmarkStart w:id="100022" w:name="_Toc100022"/>
      <w:r>
        <w:rPr>
          <w:rFonts w:ascii="Times New Roman"/>
          <w:b/>
          <w:bCs/>
          <w:color w:val="0F2027"/>
          <w:sz w:val="28"/>
          <w:szCs w:val="28"/>
        </w:rPr>
        <w:t xml:space="preserve">6.2 Para Supervisores y Coordinadores</w:t>
      </w:r>
      <w:bookmarkEnd w:id="100022"/>
    </w:p>
    <w:p>
      <w:pPr>
        <w:spacing w:after="120" w:line="312"/>
        <w:jc w:val="both"/>
      </w:pPr>
      <w:r>
        <w:rPr>
          <w:rFonts w:ascii="Calibri"/>
          <w:color w:val="182030"/>
          <w:sz w:val="24"/>
          <w:szCs w:val="24"/>
        </w:rPr>
        <w:t xml:space="preserve">Herramientas de seguimiento que permiten identificar cuellos de botella y retrazos en tiempo real. Capacidad de reasignar tareas y escalar alertas de forma automatizada cuando los plazos se exceden. Mayor control sobre la calidad del servicio entregado al tener visibilidad de cada etapa del proceso. Reduccion del tiempo dedicado a tareas de seguimiento manual, permitiendo enfocarse en la gestion estrategica de su equipo.</w:t>
      </w:r>
    </w:p>
    <w:p>
      <w:pPr>
        <w:pStyle w:val="Heading2"/>
        <w:spacing w:after="160" w:before="360"/>
      </w:pPr>
      <w:bookmarkStart w:id="100023" w:name="_Toc100023"/>
      <w:r>
        <w:rPr>
          <w:rFonts w:ascii="Times New Roman"/>
          <w:b/>
          <w:bCs/>
          <w:color w:val="0F2027"/>
          <w:sz w:val="28"/>
          <w:szCs w:val="28"/>
        </w:rPr>
        <w:t xml:space="preserve">6.3 Para Operadores de Campo</w:t>
      </w:r>
      <w:bookmarkEnd w:id="100023"/>
    </w:p>
    <w:p>
      <w:pPr>
        <w:spacing w:after="120" w:line="312"/>
        <w:jc w:val="both"/>
      </w:pPr>
      <w:r>
        <w:rPr>
          <w:rFonts w:ascii="Calibri"/>
          <w:color w:val="182030"/>
          <w:sz w:val="24"/>
          <w:szCs w:val="24"/>
        </w:rPr>
        <w:t xml:space="preserve">Acceso movil a la informacion necesaria para ejecutar su trabajo de forma eficiente. Eliminacion de la necesidad de viajar a la oficina para recoger o entregar documentos. Notificaciones claras y oportunas que indican exactamente que accion se requiere y cuando. Interfaz intuitiva que minimiza la curva de aprendizaje y maximiza la productividad desde el primer dia de uso.</w:t>
      </w:r>
    </w:p>
    <w:p>
      <w:pPr>
        <w:pStyle w:val="Heading2"/>
        <w:spacing w:after="160" w:before="360"/>
      </w:pPr>
      <w:bookmarkStart w:id="100024" w:name="_Toc100024"/>
      <w:r>
        <w:rPr>
          <w:rFonts w:ascii="Times New Roman"/>
          <w:b/>
          <w:bCs/>
          <w:color w:val="0F2027"/>
          <w:sz w:val="28"/>
          <w:szCs w:val="28"/>
        </w:rPr>
        <w:t xml:space="preserve">6.4 Para el Area de Contabilidad</w:t>
      </w:r>
      <w:bookmarkEnd w:id="100024"/>
    </w:p>
    <w:p>
      <w:pPr>
        <w:spacing w:after="120" w:line="312"/>
        <w:jc w:val="both"/>
      </w:pPr>
      <w:r>
        <w:rPr>
          <w:rFonts w:ascii="Calibri"/>
          <w:color w:val="182030"/>
          <w:sz w:val="24"/>
          <w:szCs w:val="24"/>
        </w:rPr>
        <w:t xml:space="preserve">Acceso directo a la informacion de facturacion generada por las areas operativas, sin necesidad de solicitar datos adicionales. Reduccion de discrepancias contables gracias a un flujo de informacion unificado y trazable. Automatizacion de la generacion de estados de cuenta y documentos fiscales. Mayor rapidez en el ciclo de cobro, lo que impacta positivamente el flujo de caja de la organizacion.</w:t>
      </w:r>
    </w:p>
    <w:p>
      <w:pPr>
        <w:pStyle w:val="Heading2"/>
        <w:spacing w:after="160" w:before="360"/>
      </w:pPr>
      <w:bookmarkStart w:id="100025" w:name="_Toc100025"/>
      <w:r>
        <w:rPr>
          <w:rFonts w:ascii="Times New Roman"/>
          <w:b/>
          <w:bCs/>
          <w:color w:val="0F2027"/>
          <w:sz w:val="28"/>
          <w:szCs w:val="28"/>
        </w:rPr>
        <w:t xml:space="preserve">6.5 Para el Cliente Final</w:t>
      </w:r>
      <w:bookmarkEnd w:id="100025"/>
    </w:p>
    <w:p>
      <w:pPr>
        <w:spacing w:after="120" w:line="312"/>
        <w:jc w:val="both"/>
      </w:pPr>
      <w:r>
        <w:rPr>
          <w:rFonts w:ascii="Calibri"/>
          <w:color w:val="182030"/>
          <w:sz w:val="24"/>
          <w:szCs w:val="24"/>
        </w:rPr>
        <w:t xml:space="preserve">Aunque el cliente no interactua directamente con la plataforma, se beneficia de un servicio mas rapido, preciso y profesional. Los tiempos de respuesta se reducen, la calidad del servicio mejora al minimizar errores, y la comunicacion con la empresa se vuelve mas fluida y transparente. Esta mejora en la experiencia del cliente se traduce en mayores tasas de satisfaccion, fidelizacion y referencias positivas.</w:t>
      </w:r>
    </w:p>
    <w:p>
      <w:pPr>
        <w:pStyle w:val="Heading1"/>
        <w:spacing w:after="200" w:before="480"/>
      </w:pPr>
      <w:bookmarkStart w:id="100026" w:name="_Toc100026"/>
      <w:r>
        <w:rPr>
          <w:rFonts w:ascii="Times New Roman"/>
          <w:b/>
          <w:bCs/>
          <w:color w:val="0F2027"/>
          <w:sz w:val="32"/>
          <w:szCs w:val="32"/>
        </w:rPr>
        <w:t xml:space="preserve">7. Plan de Implementacion</w:t>
      </w:r>
      <w:bookmarkEnd w:id="100026"/>
    </w:p>
    <w:p>
      <w:pPr>
        <w:pStyle w:val="Heading2"/>
        <w:spacing w:after="160" w:before="360"/>
      </w:pPr>
      <w:bookmarkStart w:id="100027" w:name="_Toc100027"/>
      <w:r>
        <w:rPr>
          <w:rFonts w:ascii="Times New Roman"/>
          <w:b/>
          <w:bCs/>
          <w:color w:val="0F2027"/>
          <w:sz w:val="28"/>
          <w:szCs w:val="28"/>
        </w:rPr>
        <w:t xml:space="preserve">7.1 Fase 1: Producto Minimo Viable (MVP)</w:t>
      </w:r>
      <w:bookmarkEnd w:id="100027"/>
    </w:p>
    <w:p>
      <w:pPr>
        <w:spacing w:after="120" w:line="312"/>
        <w:jc w:val="both"/>
      </w:pPr>
      <w:r>
        <w:rPr>
          <w:rFonts w:ascii="Calibri"/>
          <w:color w:val="182030"/>
          <w:sz w:val="24"/>
          <w:szCs w:val="24"/>
        </w:rPr>
        <w:t xml:space="preserve">El desarrollo del MVP se enfoca en las funcionalidades esenciales que validan la propuesta de valor y permiten captar los primeros clientes. Esta fase tiene una duracion estimada de 3 a 4 meses e incluye las siguientes entregas:</w:t>
      </w:r>
    </w:p>
    <w:tbl>
      <w:tblPr>
        <w:tblW w:type="pct" w:w="100%"/>
        <w:tblBorders>
          <w:top w:val="single" w:color="0F2027" w:sz="2"/>
          <w:left w:val="none"/>
          <w:bottom w:val="single" w:color="0F2027" w:sz="2"/>
          <w:right w:val="none"/>
          <w:insideH w:val="single" w:color="D0D0D0" w:sz="1"/>
          <w:insideV w:val="none"/>
        </w:tblBorders>
      </w:tblPr>
      <w:tblGrid>
        <w:gridCol w:w="100"/>
        <w:gridCol w:w="100"/>
        <w:gridCol w:w="100"/>
      </w:tblGrid>
      <w:tr>
        <w:trPr>
          <w:cantSplit/>
          <w:tblHeader/>
        </w:trPr>
        <w:tc>
          <w:tcPr>
            <w:shd w:fill="0F2027" w:val="clear"/>
            <w:tcMar>
              <w:top w:type="dxa" w:w="60"/>
              <w:left w:type="dxa" w:w="120"/>
              <w:bottom w:type="dxa" w:w="60"/>
              <w:right w:type="dxa" w:w="120"/>
            </w:tcMar>
          </w:tcPr>
          <w:p>
            <w:pPr>
              <w:jc w:val="center"/>
            </w:pPr>
            <w:r>
              <w:rPr>
                <w:rFonts w:ascii="Calibri"/>
                <w:b/>
                <w:bCs/>
                <w:color w:val="FFFFFF"/>
                <w:sz w:val="21"/>
                <w:szCs w:val="21"/>
              </w:rPr>
              <w:t xml:space="preserve">Componente</w:t>
            </w:r>
          </w:p>
        </w:tc>
        <w:tc>
          <w:tcPr>
            <w:shd w:fill="0F2027" w:val="clear"/>
            <w:tcMar>
              <w:top w:type="dxa" w:w="60"/>
              <w:left w:type="dxa" w:w="120"/>
              <w:bottom w:type="dxa" w:w="60"/>
              <w:right w:type="dxa" w:w="120"/>
            </w:tcMar>
          </w:tcPr>
          <w:p>
            <w:pPr>
              <w:jc w:val="center"/>
            </w:pPr>
            <w:r>
              <w:rPr>
                <w:rFonts w:ascii="Calibri"/>
                <w:b/>
                <w:bCs/>
                <w:color w:val="FFFFFF"/>
                <w:sz w:val="21"/>
                <w:szCs w:val="21"/>
              </w:rPr>
              <w:t xml:space="preserve">Descripcion</w:t>
            </w:r>
          </w:p>
        </w:tc>
        <w:tc>
          <w:tcPr>
            <w:shd w:fill="0F2027" w:val="clear"/>
            <w:tcMar>
              <w:top w:type="dxa" w:w="60"/>
              <w:left w:type="dxa" w:w="120"/>
              <w:bottom w:type="dxa" w:w="60"/>
              <w:right w:type="dxa" w:w="120"/>
            </w:tcMar>
          </w:tcPr>
          <w:p>
            <w:pPr>
              <w:jc w:val="center"/>
            </w:pPr>
            <w:r>
              <w:rPr>
                <w:rFonts w:ascii="Calibri"/>
                <w:b/>
                <w:bCs/>
                <w:color w:val="FFFFFF"/>
                <w:sz w:val="21"/>
                <w:szCs w:val="21"/>
              </w:rPr>
              <w:t xml:space="preserve">Prioridad</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Motor de flujos basico</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Enrutamiento secuencial entre las 5 areas con estados definidos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Critica</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Carga de documentos</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Upload y descarga de archivos .docx con almacenamiento seguro</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Critica</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Edicion por area</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Campos editables diferenciados para cada departamento</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Critica</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Notificaciones email</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Alertas automaticas al cambiar el estado del flujo</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Alta</w:t>
            </w:r>
          </w:p>
        </w:tc>
      </w:tr>
      <w:tr>
        <w:trPr>
          <w:cantSplit/>
        </w:trPr>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Dashboard basico</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Vista de ordenes activas y completadas con filtros simples</w:t>
            </w:r>
          </w:p>
        </w:tc>
        <w:tc>
          <w:tcPr>
            <w:shd w:fill="F5F7FA" w:val="clear"/>
            <w:tcMar>
              <w:top w:type="dxa" w:w="60"/>
              <w:left w:type="dxa" w:w="120"/>
              <w:bottom w:type="dxa" w:w="60"/>
              <w:right w:type="dxa" w:w="120"/>
            </w:tcMar>
          </w:tcPr>
          <w:p>
            <w:pPr>
              <w:jc w:val="left"/>
            </w:pPr>
            <w:r>
              <w:rPr>
                <w:rFonts w:ascii="Calibri"/>
                <w:b w:val="false"/>
                <w:bCs w:val="false"/>
                <w:color w:val="182030"/>
                <w:sz w:val="21"/>
                <w:szCs w:val="21"/>
              </w:rPr>
              <w:t xml:space="preserve">Alta</w:t>
            </w:r>
          </w:p>
        </w:tc>
      </w:tr>
      <w:tr>
        <w:trPr>
          <w:cantSplit/>
        </w:trPr>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Autenticacion</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Registro, login y gestion de roles basicos</w:t>
            </w:r>
          </w:p>
        </w:tc>
        <w:tc>
          <w:tcPr>
            <w:shd w:fill="FFFFFF" w:val="clear"/>
            <w:tcMar>
              <w:top w:type="dxa" w:w="60"/>
              <w:left w:type="dxa" w:w="120"/>
              <w:bottom w:type="dxa" w:w="60"/>
              <w:right w:type="dxa" w:w="120"/>
            </w:tcMar>
          </w:tcPr>
          <w:p>
            <w:pPr>
              <w:jc w:val="left"/>
            </w:pPr>
            <w:r>
              <w:rPr>
                <w:rFonts w:ascii="Calibri"/>
                <w:b w:val="false"/>
                <w:bCs w:val="false"/>
                <w:color w:val="182030"/>
                <w:sz w:val="21"/>
                <w:szCs w:val="21"/>
              </w:rPr>
              <w:t xml:space="preserve">Critica</w:t>
            </w:r>
          </w:p>
        </w:tc>
      </w:tr>
    </w:tbl>
    <w:p>
      <w:pPr>
        <w:spacing w:after="200"/>
      </w:pPr>
    </w:p>
    <w:p>
      <w:pPr>
        <w:pStyle w:val="Heading2"/>
        <w:spacing w:after="160" w:before="360"/>
      </w:pPr>
      <w:bookmarkStart w:id="100028" w:name="_Toc100028"/>
      <w:r>
        <w:rPr>
          <w:rFonts w:ascii="Times New Roman"/>
          <w:b/>
          <w:bCs/>
          <w:color w:val="0F2027"/>
          <w:sz w:val="28"/>
          <w:szCs w:val="28"/>
        </w:rPr>
        <w:t xml:space="preserve">7.2 Fase 2: Escalamiento y Mejora (Meses 5-8)</w:t>
      </w:r>
      <w:bookmarkEnd w:id="100028"/>
    </w:p>
    <w:p>
      <w:pPr>
        <w:spacing w:after="120" w:line="312"/>
        <w:jc w:val="both"/>
      </w:pPr>
      <w:r>
        <w:rPr>
          <w:rFonts w:ascii="Calibri"/>
          <w:color w:val="182030"/>
          <w:sz w:val="24"/>
          <w:szCs w:val="24"/>
        </w:rPr>
        <w:t xml:space="preserve">La segunda fase se concentra en ampliar las funcionalidades del producto y prepararlo para un crecimiento sostenido. Incluye la implementacion del sistema de notificaciones push, la integracion con sistemas externos a traves de APIs RESTful, reportes avanzados con capacidad de exportacion, el control de versiones documental con historial completo de cambios, y un sistema de roles y permisos granular que permita configuraciones avanzadas de seguridad.</w:t>
      </w:r>
    </w:p>
    <w:p>
      <w:pPr>
        <w:pStyle w:val="Heading2"/>
        <w:spacing w:after="160" w:before="360"/>
      </w:pPr>
      <w:bookmarkStart w:id="100029" w:name="_Toc100029"/>
      <w:r>
        <w:rPr>
          <w:rFonts w:ascii="Times New Roman"/>
          <w:b/>
          <w:bCs/>
          <w:color w:val="0F2027"/>
          <w:sz w:val="28"/>
          <w:szCs w:val="28"/>
        </w:rPr>
        <w:t xml:space="preserve">7.3 Fase 3: Expansion y Enterprise (Meses 9-12)</w:t>
      </w:r>
      <w:bookmarkEnd w:id="100029"/>
    </w:p>
    <w:p>
      <w:pPr>
        <w:spacing w:after="120" w:line="312"/>
        <w:jc w:val="both"/>
      </w:pPr>
      <w:r>
        <w:rPr>
          <w:rFonts w:ascii="Calibri"/>
          <w:color w:val="182030"/>
          <w:sz w:val="24"/>
          <w:szCs w:val="24"/>
        </w:rPr>
        <w:t xml:space="preserve">La fase final del primer ano se orienta hacia la captacion de clientes enterprise y la expansion del mercado. Las entregas clave incluyen la arquitectura multi-tenant para gestionar multiples organizaciones desde una sola plataforma, acuerdos de nivel de servicio (SLA) con garantias de disponibilidad y rendimiento, integracion dedicada con ERP, CRM y otros sistemas empresariales, un programa de onboarding personalizado para clientes enterprise, y herramientas de analytics avanzado con inteligencia de negocio integrada.</w:t>
      </w:r>
    </w:p>
    <w:p>
      <w:pPr>
        <w:pStyle w:val="Heading2"/>
        <w:spacing w:after="160" w:before="360"/>
      </w:pPr>
      <w:bookmarkStart w:id="100030" w:name="_Toc100030"/>
      <w:r>
        <w:rPr>
          <w:rFonts w:ascii="Times New Roman"/>
          <w:b/>
          <w:bCs/>
          <w:color w:val="0F2027"/>
          <w:sz w:val="28"/>
          <w:szCs w:val="28"/>
        </w:rPr>
        <w:t xml:space="preserve">7.4 Roadmap Posterior</w:t>
      </w:r>
      <w:bookmarkEnd w:id="100030"/>
    </w:p>
    <w:p>
      <w:pPr>
        <w:spacing w:after="120" w:line="312"/>
        <w:jc w:val="both"/>
      </w:pPr>
      <w:r>
        <w:rPr>
          <w:rFonts w:ascii="Calibri"/>
          <w:color w:val="182030"/>
          <w:sz w:val="24"/>
          <w:szCs w:val="24"/>
        </w:rPr>
        <w:t xml:space="preserve">A partir del segundo ano, la hoja de ruta contempla el desarrollo de una aplicacion movil nativa para operadores de campo, la incorporacion de inteligencia artificial para la prediccion de tiempos y optimizacion de rutas, la apertura de un marketplace de integraciones con conectores preconstruidos para los sistemas mas populares del mercado, y la expansion a mercados internacionales con soporte multiidioma y cumplimiento regulatorio local.</w:t>
      </w:r>
    </w:p>
    <w:p>
      <w:pPr>
        <w:pStyle w:val="Heading1"/>
        <w:spacing w:after="200" w:before="480"/>
      </w:pPr>
      <w:bookmarkStart w:id="100031" w:name="_Toc100031"/>
      <w:r>
        <w:rPr>
          <w:rFonts w:ascii="Times New Roman"/>
          <w:b/>
          <w:bCs/>
          <w:color w:val="0F2027"/>
          <w:sz w:val="32"/>
          <w:szCs w:val="32"/>
        </w:rPr>
        <w:t xml:space="preserve">8. Conclusiones</w:t>
      </w:r>
      <w:bookmarkEnd w:id="100031"/>
    </w:p>
    <w:p>
      <w:pPr>
        <w:spacing w:after="120" w:line="312"/>
        <w:jc w:val="both"/>
      </w:pPr>
      <w:r>
        <w:rPr>
          <w:rFonts w:ascii="Calibri"/>
          <w:color w:val="182030"/>
          <w:sz w:val="24"/>
          <w:szCs w:val="24"/>
        </w:rPr>
        <w:t xml:space="preserve">Glory Service Workflow representa una oportunidad estrategica para transformar la manera en que las empresas de servicios gestionan sus flujos de trabajo operativos. La plataforma aborda problemas reales y cuantificables que afectan a la mayoria de las organizaciones del sector: la ineficiencia de los procesos manuales, la fragmentacion de la informacion entre departamentos, y la falta de visibilidad sobre el estado operativo.</w:t>
      </w:r>
    </w:p>
    <w:p>
      <w:pPr>
        <w:spacing w:after="120" w:line="312"/>
        <w:jc w:val="both"/>
      </w:pPr>
      <w:r>
        <w:rPr>
          <w:rFonts w:ascii="Calibri"/>
          <w:color w:val="182030"/>
          <w:sz w:val="24"/>
          <w:szCs w:val="24"/>
        </w:rPr>
        <w:t xml:space="preserve">La solucion propuesta se distingue por su enfoque especializado en el ciclo de servicio completo, su capacidad de procesar documentos Word de forma nativa, y su arquitectura integrada que conecta automaticamente las cinco areas criticas del negocio. Estas caracteristicas, combinadas con un modelo de negocio SaaS escalable y un plan de implementacion pragmatico en tres fases, posicionan a Glory Service Workflow como una propuesta de alto potencial en un mercado con demanda creciente por soluciones de digitalizacion operativa.</w:t>
      </w:r>
    </w:p>
    <w:p>
      <w:pPr>
        <w:spacing w:after="120" w:line="312"/>
        <w:jc w:val="both"/>
      </w:pPr>
      <w:r>
        <w:rPr>
          <w:rFonts w:ascii="Calibri"/>
          <w:color w:val="182030"/>
          <w:sz w:val="24"/>
          <w:szCs w:val="24"/>
        </w:rPr>
        <w:t xml:space="preserve">Los beneficios economicos proyectados son significativos: reduccion del 40% al 60% en tiempos de ciclo, disminucion del 70% al 85% en errores documentales, y liberacion de hasta un 25% del tiempo operativo actualmente dedicado a tareas de seguimiento manual. Estos indicadores, junto con la flexibilidad del modelo SaaS y la capacidad de generar valor desde el primer mes de implementacion, respaldan la viabilidad comercial y el potencial de crecimiento de la plataforma.</w:t>
      </w:r>
    </w:p>
    <w:p>
      <w:pPr>
        <w:spacing w:after="120" w:line="312"/>
        <w:jc w:val="both"/>
      </w:pPr>
      <w:r>
        <w:rPr>
          <w:rFonts w:ascii="Calibri"/>
          <w:color w:val="182030"/>
          <w:sz w:val="24"/>
          <w:szCs w:val="24"/>
        </w:rPr>
        <w:t xml:space="preserve">La ejecucion exitosa del plan de implementacion descrito en este documento permitira consolidar a Glory Service Workflow como una referencia en el mercado de gestion de flujos de trabajo de servicios, generando retornos sostenibles para los inversionistas y valor duradero para los clientes.</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808080"/>
        <w:sz w:val="16"/>
        <w:szCs w:val="16"/>
      </w:rPr>
      <w:t xml:space="preserve">Glory Service Workflow — Documento de Negocio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olor w:val="18203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b/>
      <w:bCs/>
      <w:color w:val="0F2027"/>
      <w:sz w:val="32"/>
      <w:szCs w:val="32"/>
    </w:rPr>
  </w:style>
  <w:style w:type="paragraph" w:styleId="Heading2">
    <w:pPr>
      <w:outlineLvl w:val="1"/>
    </w:pPr>
    <w:name w:val="Heading 2"/>
    <w:basedOn w:val="Normal"/>
    <w:next w:val="Normal"/>
    <w:qFormat/>
    <w:rPr>
      <w:rFonts w:ascii="Times New Roman"/>
      <w:b/>
      <w:bCs/>
      <w:color w:val="0F2027"/>
      <w:sz w:val="28"/>
      <w:szCs w:val="28"/>
    </w:rPr>
  </w:style>
  <w:style w:type="paragraph" w:styleId="Heading3">
    <w:pPr>
      <w:outlineLvl w:val="2"/>
    </w:pPr>
    <w:name w:val="Heading 3"/>
    <w:basedOn w:val="Normal"/>
    <w:next w:val="Normal"/>
    <w:qFormat/>
    <w:rPr>
      <w:rFonts w:ascii="Times New Roman"/>
      <w:b/>
      <w:bCs/>
      <w:color w:val="4A6575"/>
      <w:sz w:val="26"/>
      <w:szCs w:val="26"/>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2026-04-14T20:35:34.743Z</dcterms:created>
  <dcterms:modified xsi:type="dcterms:W3CDTF">2026-04-14T20:35:34.744Z</dcterms:modified>
</cp:coreProperties>
</file>

<file path=docProps/custom.xml><?xml version="1.0" encoding="utf-8"?>
<Properties xmlns="http://schemas.openxmlformats.org/officeDocument/2006/custom-properties" xmlns:vt="http://schemas.openxmlformats.org/officeDocument/2006/docPropsVTypes"/>
</file>