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0A1628"/>
                  <w:tcMar>
                    <w:left w:type="dxa" w:w="1200"/>
                    <w:right w:type="dxa" w:w="800"/>
                  </w:tcMar>
                  <w:vAlign w:val="top"/>
                </w:tcPr>
                <w:p>
                  <w:pPr>
                    <w:spacing w:before="3089"/>
                  </w:pPr>
                </w:p>
                <w:p>
                  <w:pPr>
                    <w:spacing w:after="500"/>
                  </w:pPr>
                  <w:r>
                    <w:rPr>
                      <w:rFonts w:ascii="Calibri"/>
                      <w:color w:val="007AFF"/>
                      <w:spacing w:val="60"/>
                      <w:sz w:val="18"/>
                      <w:szCs w:val="18"/>
                    </w:rPr>
                    <w:t xml:space="preserve">B U S I N E S S   D O C U M E N T</w:t>
                  </w:r>
                </w:p>
                <w:p>
                  <w:pPr>
                    <w:spacing w:after="100" w:line="874" w:lineRule="atLeast"/>
                  </w:pPr>
                  <w:r>
                    <w:rPr>
                      <w:rFonts w:ascii="Calibri" w:eastAsia="Calibri"/>
                      <w:b/>
                      <w:bCs/>
                      <w:color w:val="FFFFFF"/>
                      <w:sz w:val="76"/>
                      <w:szCs w:val="76"/>
                    </w:rPr>
                    <w:t xml:space="preserve">Glory Service</w:t>
                  </w:r>
                </w:p>
                <w:p>
                  <w:pPr>
                    <w:spacing w:after="200" w:line="874" w:lineRule="atLeast"/>
                  </w:pPr>
                  <w:r>
                    <w:rPr>
                      <w:rFonts w:ascii="Calibri" w:eastAsia="Calibri"/>
                      <w:b/>
                      <w:bCs/>
                      <w:color w:val="FFFFFF"/>
                      <w:sz w:val="76"/>
                      <w:szCs w:val="76"/>
                    </w:rPr>
                    <w:t xml:space="preserve">Workflow</w:t>
                  </w:r>
                </w:p>
                <w:p>
                  <w:pPr>
                    <w:spacing w:after="100"/>
                  </w:pPr>
                  <w:r>
                    <w:rPr>
                      <w:rFonts w:ascii="Calibri" w:eastAsia="Calibri"/>
                      <w:color w:val="B0C4DE"/>
                      <w:sz w:val="24"/>
                      <w:szCs w:val="24"/>
                    </w:rPr>
                    <w:t xml:space="preserve">Documento de Negocio - Modelo Hub &amp; Spoke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007AFF"/>
                </w:tcPr>
                <w:p>
                  <w:pPr>
                    <w:spacing w:after="0" w:before="0"/>
                  </w:pPr>
                  <w:r>
                    <w:rPr>
                      <w:sz w:val="2"/>
                      <w:szCs w:val="2"/>
                    </w:rPr>
                    <w:t xml:space="preserve"/>
                  </w:r>
                </w:p>
              </w:tc>
            </w:tr>
          </w:tbl>
          <w:p>
            <w:pPr>
              <w:spacing w:before="800"/>
            </w:pPr>
          </w:p>
          <w:p>
            <w:pPr>
              <w:spacing w:after="100"/>
              <w:ind w:left="1200"/>
            </w:pPr>
            <w:r>
              <w:rPr>
                <w:rFonts w:ascii="Calibri" w:eastAsia="Calibri"/>
                <w:color w:val="8FA8C8"/>
                <w:sz w:val="28"/>
                <w:szCs w:val="28"/>
              </w:rPr>
              <w:t xml:space="preserve">Plataforma SaaS de Gestión de Flujos de Servicio</w:t>
            </w:r>
          </w:p>
          <w:p>
            <w:pPr>
              <w:spacing w:after="100"/>
              <w:ind w:left="1200"/>
            </w:pPr>
            <w:r>
              <w:rPr>
                <w:rFonts w:ascii="Calibri" w:eastAsia="Calibri"/>
                <w:color w:val="8FA8C8"/>
                <w:sz w:val="28"/>
                <w:szCs w:val="28"/>
              </w:rPr>
              <w:t xml:space="preserve">Modelo Hub &amp; Spoke con Ejecutiva de Cuenta como Centro</w:t>
            </w:r>
          </w:p>
          <w:p>
            <w:pPr>
              <w:spacing w:after="100"/>
              <w:ind w:left="1200"/>
            </w:pPr>
            <w:r>
              <w:rPr>
                <w:rFonts w:ascii="Calibri" w:eastAsia="Calibri"/>
                <w:color w:val="8FA8C8"/>
                <w:sz w:val="28"/>
                <w:szCs w:val="28"/>
              </w:rPr>
              <w:t xml:space="preserve">Versión 2.0</w:t>
            </w:r>
          </w:p>
          <w:p>
            <w:pPr>
              <w:spacing w:before="2000"/>
            </w:pPr>
          </w:p>
          <w:p>
            <w:pPr>
              <w:ind w:left="1200"/>
            </w:pPr>
            <w:r>
              <w:rPr>
                <w:color w:val="909090"/>
                <w:sz w:val="22"/>
                <w:szCs w:val="22"/>
              </w:rPr>
              <w:t xml:space="preserve">Confidencial</w:t>
            </w:r>
            <w:r>
              <w:t xml:space="preserve">          </w:t>
            </w:r>
            <w:r>
              <w:rPr>
                <w:color w:val="909090"/>
                <w:sz w:val="22"/>
                <w:szCs w:val="22"/>
              </w:rPr>
              <w:t xml:space="preserve">2025</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Calibri"/>
          <w:b/>
          <w:bCs/>
          <w:color w:val="0A1628"/>
          <w:sz w:val="32"/>
          <w:szCs w:val="32"/>
        </w:rPr>
        <w:t xml:space="preserve">Tabla de Contenidos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El Problema</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Desafío de Centralización de Información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Ineficiencias del Modelo Actual</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Impacto en el Negocio</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La Solución - Modelo Hub &amp; Spoke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Arquitectura del Flujo de Trabajo</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Componentes del Modelo</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Flujo de Trabajo Detallado</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Las Seis Dependencias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Ventajas del Modelo Hub &amp; Spoke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Características Principales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Gestión Centralizada Hub &amp; Spoke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Escalamiento Inteligente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Flujo de Retorno Automatizado</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Generación de Documentos Word</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Trazabilidad y Auditoría</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Notificaciones en Tiempo Real</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Panel de Control y Métricas</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Modelo de Negocio</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Suscripción SaaS</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Planes y Precios</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Fuentes de Ingreso</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Economía Unidad</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Propuesta de Valor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Reducción de Tiempos de Respuesta</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Calidad y Consistencia</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Visibilidad y Control</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Independencia de Personas Clave</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Escalabilidad</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Plan de Implementación</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Fase 1: Configuración Inicial (Semanas 1-2)</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Fase 2: Capacitación (Semanas 3-4)</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Fase 3: Piloto (Semanas 5-8)</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Fase 4: Despliegue Completo (Semanas 9-10)</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Fase 5: Optimización Continua (Mes 3 en adelante)</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Conclusiones</w:t>
            </w:r>
            <w:r>
              <w:tab/>
            </w:r>
            <w:r>
              <w:fldChar w:fldCharType="begin"/>
            </w:r>
            <w:r>
              <w:instrText xml:space="preserve"> PAGEREF _Toc100036 \h </w:instrText>
            </w:r>
            <w:r>
              <w:fldChar w:fldCharType="separate"/>
            </w:r>
            <w:r>
              <w:t>12</w:t>
            </w:r>
            <w:r>
              <w:fldChar w:fldCharType="end"/>
            </w:r>
          </w:hyperlink>
        </w:p>
        <w:p>
          <w:r>
            <w:fldChar w:fldCharType="end"/>
          </w:r>
        </w:p>
      </w:sdtContent>
    </w:sdt>
    <w:p>
      <w:pPr>
        <w:spacing w:before="200"/>
      </w:pPr>
      <w:r>
        <w:rPr>
          <w:i/>
          <w:iCs/>
          <w:color w:val="888888"/>
          <w:sz w:val="18"/>
          <w:szCs w:val="18"/>
        </w:rPr>
        <w:t xml:space="preserve">Nota: Esta Tabla de Contenidos se genera mediante códigos de campo. Para garantizar la precisión de los números de página después de editar, haga clic derecho en la tabla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Calibri"/>
          <w:b/>
          <w:bCs/>
          <w:color w:val="0A1628"/>
          <w:sz w:val="32"/>
          <w:szCs w:val="32"/>
        </w:rPr>
        <w:t xml:space="preserve">Resumen Ejecutivo</w:t>
      </w:r>
      <w:bookmarkEnd w:id="100000"/>
    </w:p>
    <w:p>
      <w:pPr>
        <w:spacing w:after="120" w:line="312"/>
        <w:jc w:val="both"/>
      </w:pPr>
      <w:r>
        <w:rPr>
          <w:rFonts w:ascii="Calibri" w:eastAsia="Calibri"/>
          <w:color w:val="1A1A2E"/>
          <w:sz w:val="24"/>
          <w:szCs w:val="24"/>
        </w:rPr>
        <w:t xml:space="preserve">Glory Service Workflow es una plataforma SaaS diseñada para transformar la gestión de formatos de servicio en organizaciones que requieren la coordinación de múltiples departamentos. En un entorno empresarial donde la información se distribuye entre diversas áreas funcionales, centralizar la recolección, validación y consolidación de datos se convierte en un desafío crítico.</w:t>
      </w:r>
    </w:p>
    <w:p>
      <w:pPr>
        <w:spacing w:after="120" w:line="312"/>
        <w:jc w:val="both"/>
      </w:pPr>
      <w:r>
        <w:rPr>
          <w:rFonts w:ascii="Calibri" w:eastAsia="Calibri"/>
          <w:color w:val="1A1A2E"/>
          <w:sz w:val="24"/>
          <w:szCs w:val="24"/>
        </w:rPr>
        <w:t xml:space="preserve">La plataforma implementa un modelo de flujo de trabajo Hub &amp; Spoke, donde la Ejecutiva de Cuenta actúa como nodo central que orquesta la recopilación de información entre seis dependencias especializadas: Financiera, Operaciones, Jurídica, Tecnología, Cadena de Suministro y Soporte de Servicio. Este enfoque permite una gestión eficiente, trazable y controlada de cada formato de servicio, desde su recepción inicial hasta la generación del documento final completamente diligenciado.</w:t>
      </w:r>
    </w:p>
    <w:p>
      <w:pPr>
        <w:spacing w:after="120" w:line="312"/>
        <w:jc w:val="both"/>
      </w:pPr>
      <w:r>
        <w:rPr>
          <w:rFonts w:ascii="Calibri" w:eastAsia="Calibri"/>
          <w:color w:val="1A1A2E"/>
          <w:sz w:val="24"/>
          <w:szCs w:val="24"/>
        </w:rPr>
        <w:t xml:space="preserve">El presente documento de negocio describe el problema que resuelve la plataforma, la solución tecnológica propuesta, las características principales, el modelo de negocio SaaS, la propuesta de valor diferencial y el plan de implementación recomendado.</w:t>
      </w:r>
    </w:p>
    <w:p>
      <w:pPr>
        <w:pStyle w:val="Heading1"/>
        <w:spacing w:after="160" w:before="360" w:line="312"/>
      </w:pPr>
      <w:bookmarkStart w:id="100001" w:name="_Toc100001"/>
      <w:r>
        <w:rPr>
          <w:rFonts w:ascii="Calibri" w:eastAsia="Calibri"/>
          <w:b/>
          <w:bCs/>
          <w:color w:val="0A1628"/>
          <w:sz w:val="32"/>
          <w:szCs w:val="32"/>
        </w:rPr>
        <w:t xml:space="preserve">El Problema</w:t>
      </w:r>
      <w:bookmarkEnd w:id="100001"/>
    </w:p>
    <w:p>
      <w:pPr>
        <w:pStyle w:val="Heading2"/>
        <w:spacing w:after="120" w:before="240" w:line="312"/>
      </w:pPr>
      <w:bookmarkStart w:id="100002" w:name="_Toc100002"/>
      <w:r>
        <w:rPr>
          <w:rFonts w:ascii="Calibri" w:eastAsia="Calibri"/>
          <w:b/>
          <w:bCs/>
          <w:color w:val="0A1628"/>
          <w:sz w:val="28"/>
          <w:szCs w:val="28"/>
        </w:rPr>
        <w:t xml:space="preserve">Desafío de Centralización de Información</w:t>
      </w:r>
      <w:bookmarkEnd w:id="100002"/>
    </w:p>
    <w:p>
      <w:pPr>
        <w:spacing w:after="120" w:line="312"/>
        <w:jc w:val="both"/>
      </w:pPr>
      <w:r>
        <w:rPr>
          <w:rFonts w:ascii="Calibri" w:eastAsia="Calibri"/>
          <w:color w:val="1A1A2E"/>
          <w:sz w:val="24"/>
          <w:szCs w:val="24"/>
        </w:rPr>
        <w:t xml:space="preserve">En las organizaciones de servicio, la atención a clientes requiere recopilar información detallada de múltiples áreas funcionales. Un formato de servicio puede contener datos financieros, operativos, legales, tecnológicos, logísticos y de soporte. Sin embargo, esta información rara vez reside en un solo departamento, lo que genera desafíos significativos en la coordinación y consolidación de datos.</w:t>
      </w:r>
    </w:p>
    <w:p>
      <w:pPr>
        <w:pStyle w:val="Heading2"/>
        <w:spacing w:after="120" w:before="240" w:line="312"/>
      </w:pPr>
      <w:bookmarkStart w:id="100003" w:name="_Toc100003"/>
      <w:r>
        <w:rPr>
          <w:rFonts w:ascii="Calibri" w:eastAsia="Calibri"/>
          <w:b/>
          <w:bCs/>
          <w:color w:val="0A1628"/>
          <w:sz w:val="28"/>
          <w:szCs w:val="28"/>
        </w:rPr>
        <w:t xml:space="preserve">Ineficiencias del Modelo Actual</w:t>
      </w:r>
      <w:bookmarkEnd w:id="100003"/>
    </w:p>
    <w:p>
      <w:pPr>
        <w:spacing w:after="120" w:line="312"/>
        <w:jc w:val="both"/>
      </w:pPr>
      <w:r>
        <w:rPr>
          <w:rFonts w:ascii="Calibri" w:eastAsia="Calibri"/>
          <w:color w:val="1A1A2E"/>
          <w:sz w:val="24"/>
          <w:szCs w:val="24"/>
        </w:rPr>
        <w:t xml:space="preserve">Los procesos manuales de recolección de información presentan múltiples problemas que afectan directamente la calidad del servicio y la satisfacción del cliente:</w:t>
      </w:r>
    </w:p>
    <w:p>
      <w:pPr>
        <w:spacing w:after="120" w:line="312"/>
        <w:jc w:val="both"/>
      </w:pPr>
      <w:r>
        <w:rPr>
          <w:rFonts w:ascii="Calibri" w:eastAsia="Calibri"/>
          <w:b/>
          <w:bCs/>
          <w:color w:val="007AFF"/>
          <w:sz w:val="24"/>
          <w:szCs w:val="24"/>
        </w:rPr>
        <w:t xml:space="preserve">Tiempos de respuesta prolongados: </w:t>
      </w:r>
      <w:r>
        <w:rPr>
          <w:rFonts w:ascii="Calibri" w:eastAsia="Calibri"/>
          <w:color w:val="1A1A2E"/>
          <w:sz w:val="24"/>
          <w:szCs w:val="24"/>
        </w:rPr>
        <w:t xml:space="preserve">La búsqueda de información en diferentes departamentos puede tardar días o incluso semanas, retrasando la entrega del formato diligenciado al cliente.</w:t>
      </w:r>
    </w:p>
    <w:p>
      <w:pPr>
        <w:spacing w:after="120" w:line="312"/>
        <w:jc w:val="both"/>
      </w:pPr>
      <w:r>
        <w:rPr>
          <w:rFonts w:ascii="Calibri" w:eastAsia="Calibri"/>
          <w:b/>
          <w:bCs/>
          <w:color w:val="007AFF"/>
          <w:sz w:val="24"/>
          <w:szCs w:val="24"/>
        </w:rPr>
        <w:t xml:space="preserve">Falta de trazabilidad: </w:t>
      </w:r>
      <w:r>
        <w:rPr>
          <w:rFonts w:ascii="Calibri" w:eastAsia="Calibri"/>
          <w:color w:val="1A1A2E"/>
          <w:sz w:val="24"/>
          <w:szCs w:val="24"/>
        </w:rPr>
        <w:t xml:space="preserve">No existe un registro claro de quién tiene el formato, qué información se ha solicitado y cuándo se espera recibir cada respuesta.</w:t>
      </w:r>
    </w:p>
    <w:p>
      <w:pPr>
        <w:spacing w:after="120" w:line="312"/>
        <w:jc w:val="both"/>
      </w:pPr>
      <w:r>
        <w:rPr>
          <w:rFonts w:ascii="Calibri" w:eastAsia="Calibri"/>
          <w:b/>
          <w:bCs/>
          <w:color w:val="007AFF"/>
          <w:sz w:val="24"/>
          <w:szCs w:val="24"/>
        </w:rPr>
        <w:t xml:space="preserve">Información inconsistente: </w:t>
      </w:r>
      <w:r>
        <w:rPr>
          <w:rFonts w:ascii="Calibri" w:eastAsia="Calibri"/>
          <w:color w:val="1A1A2E"/>
          <w:sz w:val="24"/>
          <w:szCs w:val="24"/>
        </w:rPr>
        <w:t xml:space="preserve">Sin un formato estandarizado y un proceso centralizado, los datos proporcionados por cada departamento pueden ser incompatibles o contradictorios.</w:t>
      </w:r>
    </w:p>
    <w:p>
      <w:pPr>
        <w:spacing w:after="120" w:line="312"/>
        <w:jc w:val="both"/>
      </w:pPr>
      <w:r>
        <w:rPr>
          <w:rFonts w:ascii="Calibri" w:eastAsia="Calibri"/>
          <w:b/>
          <w:bCs/>
          <w:color w:val="007AFF"/>
          <w:sz w:val="24"/>
          <w:szCs w:val="24"/>
        </w:rPr>
        <w:t xml:space="preserve">Riesgo de pérdida de formatos: </w:t>
      </w:r>
      <w:r>
        <w:rPr>
          <w:rFonts w:ascii="Calibri" w:eastAsia="Calibri"/>
          <w:color w:val="1A1A2E"/>
          <w:sz w:val="24"/>
          <w:szCs w:val="24"/>
        </w:rPr>
        <w:t xml:space="preserve">Los correos electrónicos y hojas de cálculo compartidas son propensas a perderse, duplicarse o sobreescribirse accidentalmente.</w:t>
      </w:r>
    </w:p>
    <w:p>
      <w:pPr>
        <w:spacing w:after="120" w:line="312"/>
        <w:jc w:val="both"/>
      </w:pPr>
      <w:r>
        <w:rPr>
          <w:rFonts w:ascii="Calibri" w:eastAsia="Calibri"/>
          <w:b/>
          <w:bCs/>
          <w:color w:val="007AFF"/>
          <w:sz w:val="24"/>
          <w:szCs w:val="24"/>
        </w:rPr>
        <w:t xml:space="preserve">Dependencia de personas clave: </w:t>
      </w:r>
      <w:r>
        <w:rPr>
          <w:rFonts w:ascii="Calibri" w:eastAsia="Calibri"/>
          <w:color w:val="1A1A2E"/>
          <w:sz w:val="24"/>
          <w:szCs w:val="24"/>
        </w:rPr>
        <w:t xml:space="preserve">Cuando un empleado clave está ausente, todo el proceso se detiene porque la información y los contactos residen en su conocimiento individual.</w:t>
      </w:r>
    </w:p>
    <w:p>
      <w:pPr>
        <w:pStyle w:val="Heading2"/>
        <w:spacing w:after="120" w:before="240" w:line="312"/>
      </w:pPr>
      <w:bookmarkStart w:id="100004" w:name="_Toc100004"/>
      <w:r>
        <w:rPr>
          <w:rFonts w:ascii="Calibri" w:eastAsia="Calibri"/>
          <w:b/>
          <w:bCs/>
          <w:color w:val="0A1628"/>
          <w:sz w:val="28"/>
          <w:szCs w:val="28"/>
        </w:rPr>
        <w:t xml:space="preserve">Impacto en el Negocio</w:t>
      </w:r>
      <w:bookmarkEnd w:id="100004"/>
    </w:p>
    <w:p>
      <w:pPr>
        <w:spacing w:after="120" w:line="312"/>
        <w:jc w:val="both"/>
      </w:pPr>
      <w:r>
        <w:rPr>
          <w:rFonts w:ascii="Calibri" w:eastAsia="Calibri"/>
          <w:color w:val="1A1A2E"/>
          <w:sz w:val="24"/>
          <w:szCs w:val="24"/>
        </w:rPr>
        <w:t xml:space="preserve">Estas ineficiencias se traducen en costos operativos elevados, insatisfacción del cliente por tiempos de respuesta extendidos, errores en la información entregada y una incapacidad para escalar el volumen de servicio sin incrementar proporcionalmente el personal. La falta de un sistema centralizado impide además obtener métricas de rendimiento y áreas de mejora en el proceso de atención.</w:t>
      </w:r>
    </w:p>
    <w:p>
      <w:pPr>
        <w:pStyle w:val="Heading1"/>
        <w:spacing w:after="160" w:before="360" w:line="312"/>
      </w:pPr>
      <w:bookmarkStart w:id="100005" w:name="_Toc100005"/>
      <w:r>
        <w:rPr>
          <w:rFonts w:ascii="Calibri" w:eastAsia="Calibri"/>
          <w:b/>
          <w:bCs/>
          <w:color w:val="0A1628"/>
          <w:sz w:val="32"/>
          <w:szCs w:val="32"/>
        </w:rPr>
        <w:t xml:space="preserve">La Solución - Modelo Hub &amp; Spoke</w:t>
      </w:r>
      <w:bookmarkEnd w:id="100005"/>
    </w:p>
    <w:p>
      <w:pPr>
        <w:pStyle w:val="Heading2"/>
        <w:spacing w:after="120" w:before="240" w:line="312"/>
      </w:pPr>
      <w:bookmarkStart w:id="100006" w:name="_Toc100006"/>
      <w:r>
        <w:rPr>
          <w:rFonts w:ascii="Calibri" w:eastAsia="Calibri"/>
          <w:b/>
          <w:bCs/>
          <w:color w:val="0A1628"/>
          <w:sz w:val="28"/>
          <w:szCs w:val="28"/>
        </w:rPr>
        <w:t xml:space="preserve">Arquitectura del Flujo de Trabajo</w:t>
      </w:r>
      <w:bookmarkEnd w:id="100006"/>
    </w:p>
    <w:p>
      <w:pPr>
        <w:spacing w:after="120" w:line="312"/>
        <w:jc w:val="both"/>
      </w:pPr>
      <w:r>
        <w:rPr>
          <w:rFonts w:ascii="Calibri" w:eastAsia="Calibri"/>
          <w:color w:val="1A1A2E"/>
          <w:sz w:val="24"/>
          <w:szCs w:val="24"/>
        </w:rPr>
        <w:t xml:space="preserve">Glory Service Workflow resuelve estos desafíos mediante un modelo de flujo de trabajo Hub &amp; Spoke (Centro y Radios), donde la Ejecutiva de Cuenta opera como el centro (hub) que coordina la recopilación de información desde múltiples dependencias (spokes). Este modelo garantiza que toda la información pase por un punto de control centralizado, asegurando consistencia, trazabilidad y calidad.</w:t>
      </w:r>
    </w:p>
    <w:p>
      <w:pPr>
        <w:pStyle w:val="Heading2"/>
        <w:spacing w:after="120" w:before="240" w:line="312"/>
      </w:pPr>
      <w:bookmarkStart w:id="100007" w:name="_Toc100007"/>
      <w:r>
        <w:rPr>
          <w:rFonts w:ascii="Calibri" w:eastAsia="Calibri"/>
          <w:b/>
          <w:bCs/>
          <w:color w:val="0A1628"/>
          <w:sz w:val="28"/>
          <w:szCs w:val="28"/>
        </w:rPr>
        <w:t xml:space="preserve">Componentes del Modelo</w:t>
      </w:r>
      <w:bookmarkEnd w:id="100007"/>
    </w:p>
    <w:tbl>
      <w:tblPr>
        <w:tblW w:type="pct" w:w="100%"/>
        <w:tblBorders>
          <w:top w:val="single" w:color="007AFF" w:sz="2"/>
          <w:left w:val="none"/>
          <w:bottom w:val="single" w:color="007AFF" w:sz="2"/>
          <w:right w:val="none"/>
          <w:insideH w:val="single" w:color="D0E0F0" w:sz="1"/>
          <w:insideV w:val="none"/>
        </w:tblBorders>
        <w:tblLayout w:type="fixed"/>
      </w:tblPr>
      <w:tblGrid>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Componente</w:t>
            </w:r>
          </w:p>
        </w:tc>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Rol</w:t>
            </w:r>
          </w:p>
        </w:tc>
        <w:tc>
          <w:tcPr>
            <w:tcW w:type="pct" w:w="50%"/>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Responsabilidad</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Dispatcher</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Punto de entrada</w:t>
            </w:r>
          </w:p>
        </w:tc>
        <w:tc>
          <w:tcPr>
            <w:tcW w:type="pct" w:w="5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Recibe el formato por correo electrónico, lo carga al sistema y lo asigna a la Ejecutiva de Cuenta</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Ejecutiva de Cuenta</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Hub central</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Llena la información disponible, identifica datos faltantes y escala a las dependencias necesarias</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Dependencias</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Spokes especializados</w:t>
            </w:r>
          </w:p>
        </w:tc>
        <w:tc>
          <w:tcPr>
            <w:tcW w:type="pct" w:w="5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Reciben solicitudes de información, llenan sus campos específicos y devuelven el formato al Hub</w:t>
            </w:r>
          </w:p>
        </w:tc>
      </w:tr>
    </w:tbl>
    <w:p>
      <w:pPr>
        <w:spacing w:after="60" w:before="60"/>
      </w:pPr>
    </w:p>
    <w:p>
      <w:pPr>
        <w:pStyle w:val="Heading2"/>
        <w:spacing w:after="120" w:before="240" w:line="312"/>
      </w:pPr>
      <w:bookmarkStart w:id="100008" w:name="_Toc100008"/>
      <w:r>
        <w:rPr>
          <w:rFonts w:ascii="Calibri" w:eastAsia="Calibri"/>
          <w:b/>
          <w:bCs/>
          <w:color w:val="0A1628"/>
          <w:sz w:val="28"/>
          <w:szCs w:val="28"/>
        </w:rPr>
        <w:t xml:space="preserve">Flujo de Trabajo Detallado</w:t>
      </w:r>
      <w:bookmarkEnd w:id="100008"/>
    </w:p>
    <w:p>
      <w:pPr>
        <w:spacing w:after="120" w:line="312"/>
        <w:jc w:val="both"/>
      </w:pPr>
      <w:r>
        <w:rPr>
          <w:rFonts w:ascii="Calibri" w:eastAsia="Calibri"/>
          <w:b/>
          <w:bCs/>
          <w:color w:val="007AFF"/>
          <w:sz w:val="24"/>
          <w:szCs w:val="24"/>
        </w:rPr>
        <w:t xml:space="preserve">Paso 1 - Recepción: </w:t>
      </w:r>
      <w:r>
        <w:rPr>
          <w:rFonts w:ascii="Calibri" w:eastAsia="Calibri"/>
          <w:color w:val="1A1A2E"/>
          <w:sz w:val="24"/>
          <w:szCs w:val="24"/>
        </w:rPr>
        <w:t xml:space="preserve">El Dispatcher recibe el formato de servicio a través de correo electrónico, lo carga en la plataforma y lo asigna automáticamente a la Ejecutiva de Cuenta correspondiente.</w:t>
      </w:r>
    </w:p>
    <w:p>
      <w:pPr>
        <w:spacing w:after="120" w:line="312"/>
        <w:jc w:val="both"/>
      </w:pPr>
      <w:r>
        <w:rPr>
          <w:rFonts w:ascii="Calibri" w:eastAsia="Calibri"/>
          <w:b/>
          <w:bCs/>
          <w:color w:val="007AFF"/>
          <w:sz w:val="24"/>
          <w:szCs w:val="24"/>
        </w:rPr>
        <w:t xml:space="preserve">Paso 2 - Diligenciamiento inicial: </w:t>
      </w:r>
      <w:r>
        <w:rPr>
          <w:rFonts w:ascii="Calibri" w:eastAsia="Calibri"/>
          <w:color w:val="1A1A2E"/>
          <w:sz w:val="24"/>
          <w:szCs w:val="24"/>
        </w:rPr>
        <w:t xml:space="preserve">La Ejecutiva de Cuenta revisa el formato y completa toda la información que tiene disponible con su conocimiento del cliente y del servicio.</w:t>
      </w:r>
    </w:p>
    <w:p>
      <w:pPr>
        <w:spacing w:after="120" w:line="312"/>
        <w:jc w:val="both"/>
      </w:pPr>
      <w:r>
        <w:rPr>
          <w:rFonts w:ascii="Calibri" w:eastAsia="Calibri"/>
          <w:b/>
          <w:bCs/>
          <w:color w:val="007AFF"/>
          <w:sz w:val="24"/>
          <w:szCs w:val="24"/>
        </w:rPr>
        <w:t xml:space="preserve">Paso 3 - Escalamiento: </w:t>
      </w:r>
      <w:r>
        <w:rPr>
          <w:rFonts w:ascii="Calibri" w:eastAsia="Calibri"/>
          <w:color w:val="1A1A2E"/>
          <w:sz w:val="24"/>
          <w:szCs w:val="24"/>
        </w:rPr>
        <w:t xml:space="preserve">Si información está incompleta, la Ejecutiva de Cuenta identifica qué dependencias pueden proveer los datos faltantes y escala el formato simultáneamente a una o varias dependencias.</w:t>
      </w:r>
    </w:p>
    <w:p>
      <w:pPr>
        <w:spacing w:after="120" w:line="312"/>
        <w:jc w:val="both"/>
      </w:pPr>
      <w:r>
        <w:rPr>
          <w:rFonts w:ascii="Calibri" w:eastAsia="Calibri"/>
          <w:b/>
          <w:bCs/>
          <w:color w:val="007AFF"/>
          <w:sz w:val="24"/>
          <w:szCs w:val="24"/>
        </w:rPr>
        <w:t xml:space="preserve">Paso 4 - Respuesta de dependencias: </w:t>
      </w:r>
      <w:r>
        <w:rPr>
          <w:rFonts w:ascii="Calibri" w:eastAsia="Calibri"/>
          <w:color w:val="1A1A2E"/>
          <w:sz w:val="24"/>
          <w:szCs w:val="24"/>
        </w:rPr>
        <w:t xml:space="preserve">Cada dependencia recibe la solicitud, completa los campos de su competencia y devuelve el formato a la Ejecutiva de Cuenta. Este proceso puede ocurrir en paralelo entre múltiples dependencias.</w:t>
      </w:r>
    </w:p>
    <w:p>
      <w:pPr>
        <w:spacing w:after="120" w:line="312"/>
        <w:jc w:val="both"/>
      </w:pPr>
      <w:r>
        <w:rPr>
          <w:rFonts w:ascii="Calibri" w:eastAsia="Calibri"/>
          <w:b/>
          <w:bCs/>
          <w:color w:val="007AFF"/>
          <w:sz w:val="24"/>
          <w:szCs w:val="24"/>
        </w:rPr>
        <w:t xml:space="preserve">Paso 5 - Consolidación: </w:t>
      </w:r>
      <w:r>
        <w:rPr>
          <w:rFonts w:ascii="Calibri" w:eastAsia="Calibri"/>
          <w:color w:val="1A1A2E"/>
          <w:sz w:val="24"/>
          <w:szCs w:val="24"/>
        </w:rPr>
        <w:t xml:space="preserve">La Ejecutiva de Cuenta recibe las respuestas de todas las dependencias, integra la información en un formato consolidado y verifica la completitud de todos los campos requeridos.</w:t>
      </w:r>
    </w:p>
    <w:p>
      <w:pPr>
        <w:spacing w:after="120" w:line="312"/>
        <w:jc w:val="both"/>
      </w:pPr>
      <w:r>
        <w:rPr>
          <w:rFonts w:ascii="Calibri" w:eastAsia="Calibri"/>
          <w:b/>
          <w:bCs/>
          <w:color w:val="007AFF"/>
          <w:sz w:val="24"/>
          <w:szCs w:val="24"/>
        </w:rPr>
        <w:t xml:space="preserve">Paso 6 - Entrega final: </w:t>
      </w:r>
      <w:r>
        <w:rPr>
          <w:rFonts w:ascii="Calibri" w:eastAsia="Calibri"/>
          <w:color w:val="1A1A2E"/>
          <w:sz w:val="24"/>
          <w:szCs w:val="24"/>
        </w:rPr>
        <w:t xml:space="preserve">Una vez que el formato está completamente diligenciado, se genera automáticamente un documento Word con toda la información consolidada, listo para su descarga y entrega al cliente.</w:t>
      </w:r>
    </w:p>
    <w:p>
      <w:pPr>
        <w:pStyle w:val="Heading2"/>
        <w:spacing w:after="120" w:before="240" w:line="312"/>
      </w:pPr>
      <w:bookmarkStart w:id="100009" w:name="_Toc100009"/>
      <w:r>
        <w:rPr>
          <w:rFonts w:ascii="Calibri" w:eastAsia="Calibri"/>
          <w:b/>
          <w:bCs/>
          <w:color w:val="0A1628"/>
          <w:sz w:val="28"/>
          <w:szCs w:val="28"/>
        </w:rPr>
        <w:t xml:space="preserve">Las Seis Dependencias</w:t>
      </w:r>
      <w:bookmarkEnd w:id="100009"/>
    </w:p>
    <w:p>
      <w:pPr>
        <w:spacing w:after="120" w:line="312"/>
        <w:jc w:val="both"/>
      </w:pPr>
      <w:r>
        <w:rPr>
          <w:rFonts w:ascii="Calibri" w:eastAsia="Calibri"/>
          <w:color w:val="1A1A2E"/>
          <w:sz w:val="24"/>
          <w:szCs w:val="24"/>
        </w:rPr>
        <w:t xml:space="preserve">El sistema contempla seis dependencias especializadas, cada una responsable de un área específica de información dentro del formato de servicio:</w:t>
      </w:r>
    </w:p>
    <w:tbl>
      <w:tblPr>
        <w:tblW w:type="pct" w:w="100%"/>
        <w:tblBorders>
          <w:top w:val="single" w:color="007AFF" w:sz="2"/>
          <w:left w:val="none"/>
          <w:bottom w:val="single" w:color="007AFF" w:sz="2"/>
          <w:right w:val="none"/>
          <w:insideH w:val="single" w:color="D0E0F0" w:sz="1"/>
          <w:insideV w:val="none"/>
        </w:tblBorders>
        <w:tblLayout w:type="fixed"/>
      </w:tblPr>
      <w:tblGrid>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Dependencia</w:t>
            </w:r>
          </w:p>
        </w:tc>
        <w:tc>
          <w:tcPr>
            <w:tcW w:type="pct" w:w="28%"/>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Área de Competencia</w:t>
            </w:r>
          </w:p>
        </w:tc>
        <w:tc>
          <w:tcPr>
            <w:tcW w:type="pct" w:w="50%"/>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Tipo de Información</w:t>
            </w:r>
          </w:p>
        </w:tc>
      </w:tr>
      <w:tr>
        <w:trPr>
          <w:cantSplit/>
        </w:trPr>
        <w:tc>
          <w:tcPr>
            <w:tcW w:type="pct" w:w="22%"/>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Financiera</w:t>
            </w:r>
          </w:p>
        </w:tc>
        <w:tc>
          <w:tcPr>
            <w:tcW w:type="pct" w:w="28%"/>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Datos económicos</w:t>
            </w:r>
          </w:p>
        </w:tc>
        <w:tc>
          <w:tcPr>
            <w:tcW w:type="pct" w:w="5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Costos, presupuestos, facturación, condiciones de pago</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Operaciones</w:t>
            </w:r>
          </w:p>
        </w:tc>
        <w:tc>
          <w:tcPr>
            <w:tcW w:type="pct" w:w="2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Procesos operativos</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Capacidad operativa, tiempos de entrega, recursos asignados</w:t>
            </w:r>
          </w:p>
        </w:tc>
      </w:tr>
      <w:tr>
        <w:trPr>
          <w:cantSplit/>
        </w:trPr>
        <w:tc>
          <w:tcPr>
            <w:tcW w:type="pct" w:w="22%"/>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Jurídica</w:t>
            </w:r>
          </w:p>
        </w:tc>
        <w:tc>
          <w:tcPr>
            <w:tcW w:type="pct" w:w="28%"/>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Aspectos legales</w:t>
            </w:r>
          </w:p>
        </w:tc>
        <w:tc>
          <w:tcPr>
            <w:tcW w:type="pct" w:w="5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Contratos, normatividad, cumplimiento regulatorio</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Tecnología</w:t>
            </w:r>
          </w:p>
        </w:tc>
        <w:tc>
          <w:tcPr>
            <w:tcW w:type="pct" w:w="2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Infraestructura técnica</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Sistemas, integraciones, requisitos técnicos</w:t>
            </w:r>
          </w:p>
        </w:tc>
      </w:tr>
      <w:tr>
        <w:trPr>
          <w:cantSplit/>
        </w:trPr>
        <w:tc>
          <w:tcPr>
            <w:tcW w:type="pct" w:w="22%"/>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Cadena de Suministro</w:t>
            </w:r>
          </w:p>
        </w:tc>
        <w:tc>
          <w:tcPr>
            <w:tcW w:type="pct" w:w="28%"/>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Logística y aprovisionamiento</w:t>
            </w:r>
          </w:p>
        </w:tc>
        <w:tc>
          <w:tcPr>
            <w:tcW w:type="pct" w:w="5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Disponibilidad de insumos, proveedores, tiempos de entrega</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Soporte de Servicio</w:t>
            </w:r>
          </w:p>
        </w:tc>
        <w:tc>
          <w:tcPr>
            <w:tcW w:type="pct" w:w="2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Atención al cliente</w:t>
            </w:r>
          </w:p>
        </w:tc>
        <w:tc>
          <w:tcPr>
            <w:tcW w:type="pct" w:w="5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Niveles de servicio, historial de atención, requerimientos especiales</w:t>
            </w:r>
          </w:p>
        </w:tc>
      </w:tr>
    </w:tbl>
    <w:p>
      <w:pPr>
        <w:spacing w:after="60" w:before="60"/>
      </w:pPr>
    </w:p>
    <w:p>
      <w:pPr>
        <w:pStyle w:val="Heading2"/>
        <w:spacing w:after="120" w:before="240" w:line="312"/>
      </w:pPr>
      <w:bookmarkStart w:id="100010" w:name="_Toc100010"/>
      <w:r>
        <w:rPr>
          <w:rFonts w:ascii="Calibri" w:eastAsia="Calibri"/>
          <w:b/>
          <w:bCs/>
          <w:color w:val="0A1628"/>
          <w:sz w:val="28"/>
          <w:szCs w:val="28"/>
        </w:rPr>
        <w:t xml:space="preserve">Ventajas del Modelo Hub &amp; Spoke</w:t>
      </w:r>
      <w:bookmarkEnd w:id="100010"/>
    </w:p>
    <w:p>
      <w:pPr>
        <w:spacing w:after="120" w:line="312"/>
        <w:jc w:val="both"/>
      </w:pPr>
      <w:r>
        <w:rPr>
          <w:rFonts w:ascii="Calibri" w:eastAsia="Calibri"/>
          <w:b/>
          <w:bCs/>
          <w:color w:val="007AFF"/>
          <w:sz w:val="24"/>
          <w:szCs w:val="24"/>
        </w:rPr>
        <w:t xml:space="preserve">Escalabilidad controlada: </w:t>
      </w:r>
      <w:r>
        <w:rPr>
          <w:rFonts w:ascii="Calibri" w:eastAsia="Calibri"/>
          <w:color w:val="1A1A2E"/>
          <w:sz w:val="24"/>
          <w:szCs w:val="24"/>
        </w:rPr>
        <w:t xml:space="preserve">La Ejecutiva de Cuenta puede escalar a múltiples dependencias simultáneamente, reduciendo significativamente el tiempo total de procesamiento.</w:t>
      </w:r>
    </w:p>
    <w:p>
      <w:pPr>
        <w:spacing w:after="120" w:line="312"/>
        <w:jc w:val="both"/>
      </w:pPr>
      <w:r>
        <w:rPr>
          <w:rFonts w:ascii="Calibri" w:eastAsia="Calibri"/>
          <w:b/>
          <w:bCs/>
          <w:color w:val="007AFF"/>
          <w:sz w:val="24"/>
          <w:szCs w:val="24"/>
        </w:rPr>
        <w:t xml:space="preserve">Punto único de control: </w:t>
      </w:r>
      <w:r>
        <w:rPr>
          <w:rFonts w:ascii="Calibri" w:eastAsia="Calibri"/>
          <w:color w:val="1A1A2E"/>
          <w:sz w:val="24"/>
          <w:szCs w:val="24"/>
        </w:rPr>
        <w:t xml:space="preserve">Toda la información pasa por la Ejecutiva de Cuenta, lo que garantiza consistencia y calidad en los datos finales.</w:t>
      </w:r>
    </w:p>
    <w:p>
      <w:pPr>
        <w:spacing w:after="120" w:line="312"/>
        <w:jc w:val="both"/>
      </w:pPr>
      <w:r>
        <w:rPr>
          <w:rFonts w:ascii="Calibri" w:eastAsia="Calibri"/>
          <w:b/>
          <w:bCs/>
          <w:color w:val="007AFF"/>
          <w:sz w:val="24"/>
          <w:szCs w:val="24"/>
        </w:rPr>
        <w:t xml:space="preserve">Trazabilidad completa: </w:t>
      </w:r>
      <w:r>
        <w:rPr>
          <w:rFonts w:ascii="Calibri" w:eastAsia="Calibri"/>
          <w:color w:val="1A1A2E"/>
          <w:sz w:val="24"/>
          <w:szCs w:val="24"/>
        </w:rPr>
        <w:t xml:space="preserve">El sistema registra cada acción: quién recibió el formato, cuándo se escaló, qué respondió cada dependencia y cuándo se completó.</w:t>
      </w:r>
    </w:p>
    <w:p>
      <w:pPr>
        <w:spacing w:after="120" w:line="312"/>
        <w:jc w:val="both"/>
      </w:pPr>
      <w:r>
        <w:rPr>
          <w:rFonts w:ascii="Calibri" w:eastAsia="Calibri"/>
          <w:b/>
          <w:bCs/>
          <w:color w:val="007AFF"/>
          <w:sz w:val="24"/>
          <w:szCs w:val="24"/>
        </w:rPr>
        <w:t xml:space="preserve">Flexibilidad: </w:t>
      </w:r>
      <w:r>
        <w:rPr>
          <w:rFonts w:ascii="Calibri" w:eastAsia="Calibri"/>
          <w:color w:val="1A1A2E"/>
          <w:sz w:val="24"/>
          <w:szCs w:val="24"/>
        </w:rPr>
        <w:t xml:space="preserve">No todos los formatos requieren información de todas las dependencias. La Ejecutiva de Cuenta decide dinámicamente a cuáles escalar según las necesidades del caso específico.</w:t>
      </w:r>
    </w:p>
    <w:p>
      <w:pPr>
        <w:pStyle w:val="Heading1"/>
        <w:spacing w:after="160" w:before="360" w:line="312"/>
      </w:pPr>
      <w:bookmarkStart w:id="100011" w:name="_Toc100011"/>
      <w:r>
        <w:rPr>
          <w:rFonts w:ascii="Calibri" w:eastAsia="Calibri"/>
          <w:b/>
          <w:bCs/>
          <w:color w:val="0A1628"/>
          <w:sz w:val="32"/>
          <w:szCs w:val="32"/>
        </w:rPr>
        <w:t xml:space="preserve">Características Principales</w:t>
      </w:r>
      <w:bookmarkEnd w:id="100011"/>
    </w:p>
    <w:p>
      <w:pPr>
        <w:pStyle w:val="Heading2"/>
        <w:spacing w:after="120" w:before="240" w:line="312"/>
      </w:pPr>
      <w:bookmarkStart w:id="100012" w:name="_Toc100012"/>
      <w:r>
        <w:rPr>
          <w:rFonts w:ascii="Calibri" w:eastAsia="Calibri"/>
          <w:b/>
          <w:bCs/>
          <w:color w:val="0A1628"/>
          <w:sz w:val="28"/>
          <w:szCs w:val="28"/>
        </w:rPr>
        <w:t xml:space="preserve">Gestión Centralizada Hub &amp; Spoke</w:t>
      </w:r>
      <w:bookmarkEnd w:id="100012"/>
    </w:p>
    <w:p>
      <w:pPr>
        <w:spacing w:after="120" w:line="312"/>
        <w:jc w:val="both"/>
      </w:pPr>
      <w:r>
        <w:rPr>
          <w:rFonts w:ascii="Calibri" w:eastAsia="Calibri"/>
          <w:color w:val="1A1A2E"/>
          <w:sz w:val="24"/>
          <w:szCs w:val="24"/>
        </w:rPr>
        <w:t xml:space="preserve">La plataforma implementa el modelo Hub &amp; Spoke donde la Ejecutiva de Cuenta gestiona centralmente todos los formatos de servicio. Desde un panel único, puede ver el estado de cada formato, identificar cuáles requieren escalamiento y realizar seguimiento en tiempo real de las respuestas de cada dependencia.</w:t>
      </w:r>
    </w:p>
    <w:p>
      <w:pPr>
        <w:pStyle w:val="Heading2"/>
        <w:spacing w:after="120" w:before="240" w:line="312"/>
      </w:pPr>
      <w:bookmarkStart w:id="100013" w:name="_Toc100013"/>
      <w:r>
        <w:rPr>
          <w:rFonts w:ascii="Calibri" w:eastAsia="Calibri"/>
          <w:b/>
          <w:bCs/>
          <w:color w:val="0A1628"/>
          <w:sz w:val="28"/>
          <w:szCs w:val="28"/>
        </w:rPr>
        <w:t xml:space="preserve">Escalamiento Inteligente</w:t>
      </w:r>
      <w:bookmarkEnd w:id="100013"/>
    </w:p>
    <w:p>
      <w:pPr>
        <w:spacing w:after="120" w:line="312"/>
        <w:jc w:val="both"/>
      </w:pPr>
      <w:r>
        <w:rPr>
          <w:rFonts w:ascii="Calibri" w:eastAsia="Calibri"/>
          <w:color w:val="1A1A2E"/>
          <w:sz w:val="24"/>
          <w:szCs w:val="24"/>
        </w:rPr>
        <w:t xml:space="preserve">El sistema permite escalar un formato a una o múltiples dependencias de forma simultánea. La Ejecutiva de Cuenta selecciona las dependencias requeridas, añade instrucciones específicas para cada una y envía la solicitud con un solo clic. Cada dependencia recibe únicamente los campos que le corresponden, manteniendo la privacidad y relevancia de la información.</w:t>
      </w:r>
    </w:p>
    <w:p>
      <w:pPr>
        <w:pStyle w:val="Heading2"/>
        <w:spacing w:after="120" w:before="240" w:line="312"/>
      </w:pPr>
      <w:bookmarkStart w:id="100014" w:name="_Toc100014"/>
      <w:r>
        <w:rPr>
          <w:rFonts w:ascii="Calibri" w:eastAsia="Calibri"/>
          <w:b/>
          <w:bCs/>
          <w:color w:val="0A1628"/>
          <w:sz w:val="28"/>
          <w:szCs w:val="28"/>
        </w:rPr>
        <w:t xml:space="preserve">Flujo de Retorno Automatizado</w:t>
      </w:r>
      <w:bookmarkEnd w:id="100014"/>
    </w:p>
    <w:p>
      <w:pPr>
        <w:spacing w:after="120" w:line="312"/>
        <w:jc w:val="both"/>
      </w:pPr>
      <w:r>
        <w:rPr>
          <w:rFonts w:ascii="Calibri" w:eastAsia="Calibri"/>
          <w:color w:val="1A1A2E"/>
          <w:sz w:val="24"/>
          <w:szCs w:val="24"/>
        </w:rPr>
        <w:t xml:space="preserve">Una vez que una dependencia completa su información, el formato regresa automáticamente a la Ejecutiva de Cuenta. El sistema notifica en tiempo real cada respuesta recibida y actualiza el estado del formato. La Ejecutiva de Cuenta puede ver qué dependencias han respondido y cuáles están pendientes, permitiendo enviar recordatorios oportunos.</w:t>
      </w:r>
    </w:p>
    <w:p>
      <w:pPr>
        <w:pStyle w:val="Heading2"/>
        <w:spacing w:after="120" w:before="240" w:line="312"/>
      </w:pPr>
      <w:bookmarkStart w:id="100015" w:name="_Toc100015"/>
      <w:r>
        <w:rPr>
          <w:rFonts w:ascii="Calibri" w:eastAsia="Calibri"/>
          <w:b/>
          <w:bCs/>
          <w:color w:val="0A1628"/>
          <w:sz w:val="28"/>
          <w:szCs w:val="28"/>
        </w:rPr>
        <w:t xml:space="preserve">Generación de Documentos Word</w:t>
      </w:r>
      <w:bookmarkEnd w:id="100015"/>
    </w:p>
    <w:p>
      <w:pPr>
        <w:spacing w:after="120" w:line="312"/>
        <w:jc w:val="both"/>
      </w:pPr>
      <w:r>
        <w:rPr>
          <w:rFonts w:ascii="Calibri" w:eastAsia="Calibri"/>
          <w:color w:val="1A1A2E"/>
          <w:sz w:val="24"/>
          <w:szCs w:val="24"/>
        </w:rPr>
        <w:t xml:space="preserve">Cuando el formato está completamente diligenciado, la plataforma genera automáticamente un documento Word profesional con toda la información consolidada. El documento mantiene el formato y la estructura del template original, con todos los campos completos y listo para su descarga y entrega al cliente.</w:t>
      </w:r>
    </w:p>
    <w:p>
      <w:pPr>
        <w:pStyle w:val="Heading2"/>
        <w:spacing w:after="120" w:before="240" w:line="312"/>
      </w:pPr>
      <w:bookmarkStart w:id="100016" w:name="_Toc100016"/>
      <w:r>
        <w:rPr>
          <w:rFonts w:ascii="Calibri" w:eastAsia="Calibri"/>
          <w:b/>
          <w:bCs/>
          <w:color w:val="0A1628"/>
          <w:sz w:val="28"/>
          <w:szCs w:val="28"/>
        </w:rPr>
        <w:t xml:space="preserve">Trazabilidad y Auditoría</w:t>
      </w:r>
      <w:bookmarkEnd w:id="100016"/>
    </w:p>
    <w:p>
      <w:pPr>
        <w:spacing w:after="120" w:line="312"/>
        <w:jc w:val="both"/>
      </w:pPr>
      <w:r>
        <w:rPr>
          <w:rFonts w:ascii="Calibri" w:eastAsia="Calibri"/>
          <w:color w:val="1A1A2E"/>
          <w:sz w:val="24"/>
          <w:szCs w:val="24"/>
        </w:rPr>
        <w:t xml:space="preserve">Cada acción realizada sobre un formato queda registrada en un historial completo: quién lo cargó, cuándo se asignó, qué dependencias fueron escaladas, cuándo respondieron, qué información proporcionaron y cuándo se completó. Este registro permite auditorías, análisis de rendimiento e identificación de cuellos de botella.</w:t>
      </w:r>
    </w:p>
    <w:p>
      <w:pPr>
        <w:pStyle w:val="Heading2"/>
        <w:spacing w:after="120" w:before="240" w:line="312"/>
      </w:pPr>
      <w:bookmarkStart w:id="100017" w:name="_Toc100017"/>
      <w:r>
        <w:rPr>
          <w:rFonts w:ascii="Calibri" w:eastAsia="Calibri"/>
          <w:b/>
          <w:bCs/>
          <w:color w:val="0A1628"/>
          <w:sz w:val="28"/>
          <w:szCs w:val="28"/>
        </w:rPr>
        <w:t xml:space="preserve">Notificaciones en Tiempo Real</w:t>
      </w:r>
      <w:bookmarkEnd w:id="100017"/>
    </w:p>
    <w:p>
      <w:pPr>
        <w:spacing w:after="120" w:line="312"/>
        <w:jc w:val="both"/>
      </w:pPr>
      <w:r>
        <w:rPr>
          <w:rFonts w:ascii="Calibri" w:eastAsia="Calibri"/>
          <w:color w:val="1A1A2E"/>
          <w:sz w:val="24"/>
          <w:szCs w:val="24"/>
        </w:rPr>
        <w:t xml:space="preserve">El sistema envía notificaciones automáticas por correo electrónico cuando un formato es asignado, escalado, respondido o completado. Esto asegura que todos los participantes estén informados del estado actual sin necesidad de consultar manualmente la plataforma.</w:t>
      </w:r>
    </w:p>
    <w:p>
      <w:pPr>
        <w:pStyle w:val="Heading2"/>
        <w:spacing w:after="120" w:before="240" w:line="312"/>
      </w:pPr>
      <w:bookmarkStart w:id="100018" w:name="_Toc100018"/>
      <w:r>
        <w:rPr>
          <w:rFonts w:ascii="Calibri" w:eastAsia="Calibri"/>
          <w:b/>
          <w:bCs/>
          <w:color w:val="0A1628"/>
          <w:sz w:val="28"/>
          <w:szCs w:val="28"/>
        </w:rPr>
        <w:t xml:space="preserve">Panel de Control y Métricas</w:t>
      </w:r>
      <w:bookmarkEnd w:id="100018"/>
    </w:p>
    <w:p>
      <w:pPr>
        <w:spacing w:after="120" w:line="312"/>
        <w:jc w:val="both"/>
      </w:pPr>
      <w:r>
        <w:rPr>
          <w:rFonts w:ascii="Calibri" w:eastAsia="Calibri"/>
          <w:color w:val="1A1A2E"/>
          <w:sz w:val="24"/>
          <w:szCs w:val="24"/>
        </w:rPr>
        <w:t xml:space="preserve">Los administradores disponen de un panel de control con métricas clave: número de formatos en proceso, tiempos promedio de respuesta por dependencia, formatos completados por período y alertas sobre formatos que exceden los tiempos establecidos.</w:t>
      </w:r>
    </w:p>
    <w:p>
      <w:pPr>
        <w:pStyle w:val="Heading1"/>
        <w:spacing w:after="160" w:before="360" w:line="312"/>
      </w:pPr>
      <w:bookmarkStart w:id="100019" w:name="_Toc100019"/>
      <w:r>
        <w:rPr>
          <w:rFonts w:ascii="Calibri" w:eastAsia="Calibri"/>
          <w:b/>
          <w:bCs/>
          <w:color w:val="0A1628"/>
          <w:sz w:val="32"/>
          <w:szCs w:val="32"/>
        </w:rPr>
        <w:t xml:space="preserve">Modelo de Negocio</w:t>
      </w:r>
      <w:bookmarkEnd w:id="100019"/>
    </w:p>
    <w:p>
      <w:pPr>
        <w:pStyle w:val="Heading2"/>
        <w:spacing w:after="120" w:before="240" w:line="312"/>
      </w:pPr>
      <w:bookmarkStart w:id="100020" w:name="_Toc100020"/>
      <w:r>
        <w:rPr>
          <w:rFonts w:ascii="Calibri" w:eastAsia="Calibri"/>
          <w:b/>
          <w:bCs/>
          <w:color w:val="0A1628"/>
          <w:sz w:val="28"/>
          <w:szCs w:val="28"/>
        </w:rPr>
        <w:t xml:space="preserve">Suscripción SaaS</w:t>
      </w:r>
      <w:bookmarkEnd w:id="100020"/>
    </w:p>
    <w:p>
      <w:pPr>
        <w:spacing w:after="120" w:line="312"/>
        <w:jc w:val="both"/>
      </w:pPr>
      <w:r>
        <w:rPr>
          <w:rFonts w:ascii="Calibri" w:eastAsia="Calibri"/>
          <w:color w:val="1A1A2E"/>
          <w:sz w:val="24"/>
          <w:szCs w:val="24"/>
        </w:rPr>
        <w:t xml:space="preserve">Glory Service Workflow se comercializa bajo un modelo de suscripción SaaS (Software as a Service), lo que permite a las organizaciones acceder a la plataforma sin inversiones iniciales en infraestructura. El modelo se estructura en planes escalables que se adaptan al tamaño y necesidades de cada organización.</w:t>
      </w:r>
    </w:p>
    <w:p>
      <w:pPr>
        <w:pStyle w:val="Heading2"/>
        <w:spacing w:after="120" w:before="240" w:line="312"/>
      </w:pPr>
      <w:bookmarkStart w:id="100021" w:name="_Toc100021"/>
      <w:r>
        <w:rPr>
          <w:rFonts w:ascii="Calibri" w:eastAsia="Calibri"/>
          <w:b/>
          <w:bCs/>
          <w:color w:val="0A1628"/>
          <w:sz w:val="28"/>
          <w:szCs w:val="28"/>
        </w:rPr>
        <w:t xml:space="preserve">Planes y Precios</w:t>
      </w:r>
      <w:bookmarkEnd w:id="100021"/>
    </w:p>
    <w:tbl>
      <w:tblPr>
        <w:tblW w:type="pct" w:w="100%"/>
        <w:tblBorders>
          <w:top w:val="single" w:color="007AFF" w:sz="2"/>
          <w:left w:val="none"/>
          <w:bottom w:val="single" w:color="007AFF" w:sz="2"/>
          <w:right w:val="none"/>
          <w:insideH w:val="single" w:color="D0E0F0" w:sz="1"/>
          <w:insideV w:val="none"/>
        </w:tblBorders>
        <w:tblLayout w:type="fixed"/>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Característica</w:t>
            </w:r>
          </w:p>
        </w:tc>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Plan Básico</w:t>
            </w:r>
          </w:p>
        </w:tc>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Plan Profesional</w:t>
            </w:r>
          </w:p>
        </w:tc>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Plan Enterprise</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Ejecutivas de Cuenta</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1</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5</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Ilimitadas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Dependencias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3</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6</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Personalizadas</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Formatos por mes</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50</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500</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Ilimitados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Historial de formatos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3 meses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12 meses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Ilimitado</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Panel de control</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Básico</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Avanzado</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Premium</w:t>
            </w:r>
          </w:p>
        </w:tc>
      </w:tr>
      <w:tr>
        <w:trPr>
          <w:cantSplit/>
        </w:trPr>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Integraciones</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Correo electrónico</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API + Correo</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API + Webhooks + ERP</w:t>
            </w:r>
          </w:p>
        </w:tc>
      </w:tr>
      <w:tr>
        <w:trPr>
          <w:cantSplit/>
        </w:trPr>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Soporte</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Email</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Email + Chat</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Dedicado 24/7</w:t>
            </w:r>
          </w:p>
        </w:tc>
      </w:tr>
    </w:tbl>
    <w:p>
      <w:pPr>
        <w:spacing w:after="60" w:before="60"/>
      </w:pPr>
    </w:p>
    <w:p>
      <w:pPr>
        <w:pStyle w:val="Heading2"/>
        <w:spacing w:after="120" w:before="240" w:line="312"/>
      </w:pPr>
      <w:bookmarkStart w:id="100022" w:name="_Toc100022"/>
      <w:r>
        <w:rPr>
          <w:rFonts w:ascii="Calibri" w:eastAsia="Calibri"/>
          <w:b/>
          <w:bCs/>
          <w:color w:val="0A1628"/>
          <w:sz w:val="28"/>
          <w:szCs w:val="28"/>
        </w:rPr>
        <w:t xml:space="preserve">Fuentes de Ingreso</w:t>
      </w:r>
      <w:bookmarkEnd w:id="100022"/>
    </w:p>
    <w:p>
      <w:pPr>
        <w:spacing w:after="120" w:line="312"/>
        <w:jc w:val="both"/>
      </w:pPr>
      <w:r>
        <w:rPr>
          <w:rFonts w:ascii="Calibri" w:eastAsia="Calibri"/>
          <w:b/>
          <w:bCs/>
          <w:color w:val="007AFF"/>
          <w:sz w:val="24"/>
          <w:szCs w:val="24"/>
        </w:rPr>
        <w:t xml:space="preserve">Suscripciones mensuales: </w:t>
      </w:r>
      <w:r>
        <w:rPr>
          <w:rFonts w:ascii="Calibri" w:eastAsia="Calibri"/>
          <w:color w:val="1A1A2E"/>
          <w:sz w:val="24"/>
          <w:szCs w:val="24"/>
        </w:rPr>
        <w:t xml:space="preserve">Ingreso recurrente principal basado en el plan seleccionado por cada organización.</w:t>
      </w:r>
    </w:p>
    <w:p>
      <w:pPr>
        <w:spacing w:after="120" w:line="312"/>
        <w:jc w:val="both"/>
      </w:pPr>
      <w:r>
        <w:rPr>
          <w:rFonts w:ascii="Calibri" w:eastAsia="Calibri"/>
          <w:b/>
          <w:bCs/>
          <w:color w:val="007AFF"/>
          <w:sz w:val="24"/>
          <w:szCs w:val="24"/>
        </w:rPr>
        <w:t xml:space="preserve">Cargos por formatos adicionales: </w:t>
      </w:r>
      <w:r>
        <w:rPr>
          <w:rFonts w:ascii="Calibri" w:eastAsia="Calibri"/>
          <w:color w:val="1A1A2E"/>
          <w:sz w:val="24"/>
          <w:szCs w:val="24"/>
        </w:rPr>
        <w:t xml:space="preserve">Cuando una organización excede el límite de formatos de su plan, puede adquirir paquetes adicionales.</w:t>
      </w:r>
    </w:p>
    <w:p>
      <w:pPr>
        <w:spacing w:after="120" w:line="312"/>
        <w:jc w:val="both"/>
      </w:pPr>
      <w:r>
        <w:rPr>
          <w:rFonts w:ascii="Calibri" w:eastAsia="Calibri"/>
          <w:b/>
          <w:bCs/>
          <w:color w:val="007AFF"/>
          <w:sz w:val="24"/>
          <w:szCs w:val="24"/>
        </w:rPr>
        <w:t xml:space="preserve">Servicios de implementación: </w:t>
      </w:r>
      <w:r>
        <w:rPr>
          <w:rFonts w:ascii="Calibri" w:eastAsia="Calibri"/>
          <w:color w:val="1A1A2E"/>
          <w:sz w:val="24"/>
          <w:szCs w:val="24"/>
        </w:rPr>
        <w:t xml:space="preserve">Consultoría personalizada para la configuración inicial, integración con sistemas existentes y capacitación del equipo.</w:t>
      </w:r>
    </w:p>
    <w:p>
      <w:pPr>
        <w:spacing w:after="120" w:line="312"/>
        <w:jc w:val="both"/>
      </w:pPr>
      <w:r>
        <w:rPr>
          <w:rFonts w:ascii="Calibri" w:eastAsia="Calibri"/>
          <w:b/>
          <w:bCs/>
          <w:color w:val="007AFF"/>
          <w:sz w:val="24"/>
          <w:szCs w:val="24"/>
        </w:rPr>
        <w:t xml:space="preserve">Personalización avanzada: </w:t>
      </w:r>
      <w:r>
        <w:rPr>
          <w:rFonts w:ascii="Calibri" w:eastAsia="Calibri"/>
          <w:color w:val="1A1A2E"/>
          <w:sz w:val="24"/>
          <w:szCs w:val="24"/>
        </w:rPr>
        <w:t xml:space="preserve">Desarrollo de funcionalidades específicas o adaptaciones del flujo de trabajo para clientes con necesidades particulares.</w:t>
      </w:r>
    </w:p>
    <w:p>
      <w:pPr>
        <w:pStyle w:val="Heading2"/>
        <w:spacing w:after="120" w:before="240" w:line="312"/>
      </w:pPr>
      <w:bookmarkStart w:id="100023" w:name="_Toc100023"/>
      <w:r>
        <w:rPr>
          <w:rFonts w:ascii="Calibri" w:eastAsia="Calibri"/>
          <w:b/>
          <w:bCs/>
          <w:color w:val="0A1628"/>
          <w:sz w:val="28"/>
          <w:szCs w:val="28"/>
        </w:rPr>
        <w:t xml:space="preserve">Economía Unidad</w:t>
      </w:r>
      <w:bookmarkEnd w:id="100023"/>
    </w:p>
    <w:p>
      <w:pPr>
        <w:spacing w:after="120" w:line="312"/>
        <w:jc w:val="both"/>
      </w:pPr>
      <w:r>
        <w:rPr>
          <w:rFonts w:ascii="Calibri" w:eastAsia="Calibri"/>
          <w:color w:val="1A1A2E"/>
          <w:sz w:val="24"/>
          <w:szCs w:val="24"/>
        </w:rPr>
        <w:t xml:space="preserve">El costo de servir a un cliente decrece conforme madura su uso de la plataforma. Los costos principales son infraestructura cloud y soporte técnico, ambos escalables. Se estima que un cliente promedio genera entre 100 y 300 formatos mensuales, con un costo marginal por formato inferior al 5% del valor de la suscripción.</w:t>
      </w:r>
    </w:p>
    <w:p>
      <w:pPr>
        <w:pStyle w:val="Heading1"/>
        <w:spacing w:after="160" w:before="360" w:line="312"/>
      </w:pPr>
      <w:bookmarkStart w:id="100024" w:name="_Toc100024"/>
      <w:r>
        <w:rPr>
          <w:rFonts w:ascii="Calibri" w:eastAsia="Calibri"/>
          <w:b/>
          <w:bCs/>
          <w:color w:val="0A1628"/>
          <w:sz w:val="32"/>
          <w:szCs w:val="32"/>
        </w:rPr>
        <w:t xml:space="preserve">Propuesta de Valor</w:t>
      </w:r>
      <w:bookmarkEnd w:id="100024"/>
    </w:p>
    <w:p>
      <w:pPr>
        <w:pStyle w:val="Heading2"/>
        <w:spacing w:after="120" w:before="240" w:line="312"/>
      </w:pPr>
      <w:bookmarkStart w:id="100025" w:name="_Toc100025"/>
      <w:r>
        <w:rPr>
          <w:rFonts w:ascii="Calibri" w:eastAsia="Calibri"/>
          <w:b/>
          <w:bCs/>
          <w:color w:val="0A1628"/>
          <w:sz w:val="28"/>
          <w:szCs w:val="28"/>
        </w:rPr>
        <w:t xml:space="preserve">Reducción de Tiempos de Respuesta</w:t>
      </w:r>
      <w:bookmarkEnd w:id="100025"/>
    </w:p>
    <w:p>
      <w:pPr>
        <w:spacing w:after="120" w:line="312"/>
        <w:jc w:val="both"/>
      </w:pPr>
      <w:r>
        <w:rPr>
          <w:rFonts w:ascii="Calibri" w:eastAsia="Calibri"/>
          <w:color w:val="1A1A2E"/>
          <w:sz w:val="24"/>
          <w:szCs w:val="24"/>
        </w:rPr>
        <w:t xml:space="preserve">El modelo Hub &amp; Spoke permite escalamientos paralelos a múltiples dependencias simultáneamente, reduciendo los tiempos de procesamiento de formatos de semanas a días. Las notificaciones automáticas y los recordatorios mantienen el flujo activo, eliminando los retrasos causados por la falta de seguimiento manual.</w:t>
      </w:r>
    </w:p>
    <w:p>
      <w:pPr>
        <w:pStyle w:val="Heading2"/>
        <w:spacing w:after="120" w:before="240" w:line="312"/>
      </w:pPr>
      <w:bookmarkStart w:id="100026" w:name="_Toc100026"/>
      <w:r>
        <w:rPr>
          <w:rFonts w:ascii="Calibri" w:eastAsia="Calibri"/>
          <w:b/>
          <w:bCs/>
          <w:color w:val="0A1628"/>
          <w:sz w:val="28"/>
          <w:szCs w:val="28"/>
        </w:rPr>
        <w:t xml:space="preserve">Calidad y Consistencia</w:t>
      </w:r>
      <w:bookmarkEnd w:id="100026"/>
    </w:p>
    <w:p>
      <w:pPr>
        <w:spacing w:after="120" w:line="312"/>
        <w:jc w:val="both"/>
      </w:pPr>
      <w:r>
        <w:rPr>
          <w:rFonts w:ascii="Calibri" w:eastAsia="Calibri"/>
          <w:color w:val="1A1A2E"/>
          <w:sz w:val="24"/>
          <w:szCs w:val="24"/>
        </w:rPr>
        <w:t xml:space="preserve">Al centralizar la consolidación en la Ejecutiva de Cuenta, se garantiza que toda la información sea revisada y validada antes de su entrega. Los formatos estandarizados eliminan las inconsistencias entre departamentos y aseguran que cada documento final cumpla con los estándares de calidad requeridos.</w:t>
      </w:r>
    </w:p>
    <w:p>
      <w:pPr>
        <w:pStyle w:val="Heading2"/>
        <w:spacing w:after="120" w:before="240" w:line="312"/>
      </w:pPr>
      <w:bookmarkStart w:id="100027" w:name="_Toc100027"/>
      <w:r>
        <w:rPr>
          <w:rFonts w:ascii="Calibri" w:eastAsia="Calibri"/>
          <w:b/>
          <w:bCs/>
          <w:color w:val="0A1628"/>
          <w:sz w:val="28"/>
          <w:szCs w:val="28"/>
        </w:rPr>
        <w:t xml:space="preserve">Visibilidad y Control</w:t>
      </w:r>
      <w:bookmarkEnd w:id="100027"/>
    </w:p>
    <w:p>
      <w:pPr>
        <w:spacing w:after="120" w:line="312"/>
        <w:jc w:val="both"/>
      </w:pPr>
      <w:r>
        <w:rPr>
          <w:rFonts w:ascii="Calibri" w:eastAsia="Calibri"/>
          <w:color w:val="1A1A2E"/>
          <w:sz w:val="24"/>
          <w:szCs w:val="24"/>
        </w:rPr>
        <w:t xml:space="preserve">La trazabilidad completa del proceso permite a los gerentes y supervisores conocer en tiempo real el estado de cada formato, identificar cuellos de botella y tomar decisiones informadas. Las métricas del panel de control facilitan la gestión basada en datos y la mejora continua del proceso.</w:t>
      </w:r>
    </w:p>
    <w:p>
      <w:pPr>
        <w:pStyle w:val="Heading2"/>
        <w:spacing w:after="120" w:before="240" w:line="312"/>
      </w:pPr>
      <w:bookmarkStart w:id="100028" w:name="_Toc100028"/>
      <w:r>
        <w:rPr>
          <w:rFonts w:ascii="Calibri" w:eastAsia="Calibri"/>
          <w:b/>
          <w:bCs/>
          <w:color w:val="0A1628"/>
          <w:sz w:val="28"/>
          <w:szCs w:val="28"/>
        </w:rPr>
        <w:t xml:space="preserve">Independencia de Personas Clave</w:t>
      </w:r>
      <w:bookmarkEnd w:id="100028"/>
    </w:p>
    <w:p>
      <w:pPr>
        <w:spacing w:after="120" w:line="312"/>
        <w:jc w:val="both"/>
      </w:pPr>
      <w:r>
        <w:rPr>
          <w:rFonts w:ascii="Calibri" w:eastAsia="Calibri"/>
          <w:color w:val="1A1A2E"/>
          <w:sz w:val="24"/>
          <w:szCs w:val="24"/>
        </w:rPr>
        <w:t xml:space="preserve">El sistema almacena toda la información, contactos y reglas de escalamiento en la plataforma, no en el conocimiento individual de los empleados. Esto significa que la operación puede continuar sin interrupciones independientemente de la disponibilidad del personal.</w:t>
      </w:r>
    </w:p>
    <w:p>
      <w:pPr>
        <w:pStyle w:val="Heading2"/>
        <w:spacing w:after="120" w:before="240" w:line="312"/>
      </w:pPr>
      <w:bookmarkStart w:id="100029" w:name="_Toc100029"/>
      <w:r>
        <w:rPr>
          <w:rFonts w:ascii="Calibri" w:eastAsia="Calibri"/>
          <w:b/>
          <w:bCs/>
          <w:color w:val="0A1628"/>
          <w:sz w:val="28"/>
          <w:szCs w:val="28"/>
        </w:rPr>
        <w:t xml:space="preserve">Escalabilidad</w:t>
      </w:r>
      <w:bookmarkEnd w:id="100029"/>
    </w:p>
    <w:p>
      <w:pPr>
        <w:spacing w:after="120" w:line="312"/>
        <w:jc w:val="both"/>
      </w:pPr>
      <w:r>
        <w:rPr>
          <w:rFonts w:ascii="Calibri" w:eastAsia="Calibri"/>
          <w:color w:val="1A1A2E"/>
          <w:sz w:val="24"/>
          <w:szCs w:val="24"/>
        </w:rPr>
        <w:t xml:space="preserve">El modelo SaaS permite agregar nuevas dependencias, ejecutivas de cuenta y volúmenes de formato sin cambios en la infraestructura. Una organización puede crecer de 3 a 20 dependencias simplemente actualizando su plan de suscripción.</w:t>
      </w:r>
    </w:p>
    <w:p>
      <w:pPr>
        <w:pStyle w:val="Heading1"/>
        <w:spacing w:after="160" w:before="360" w:line="312"/>
      </w:pPr>
      <w:bookmarkStart w:id="100030" w:name="_Toc100030"/>
      <w:r>
        <w:rPr>
          <w:rFonts w:ascii="Calibri" w:eastAsia="Calibri"/>
          <w:b/>
          <w:bCs/>
          <w:color w:val="0A1628"/>
          <w:sz w:val="32"/>
          <w:szCs w:val="32"/>
        </w:rPr>
        <w:t xml:space="preserve">Plan de Implementación</w:t>
      </w:r>
      <w:bookmarkEnd w:id="100030"/>
    </w:p>
    <w:p>
      <w:pPr>
        <w:pStyle w:val="Heading2"/>
        <w:spacing w:after="120" w:before="240" w:line="312"/>
      </w:pPr>
      <w:bookmarkStart w:id="100031" w:name="_Toc100031"/>
      <w:r>
        <w:rPr>
          <w:rFonts w:ascii="Calibri" w:eastAsia="Calibri"/>
          <w:b/>
          <w:bCs/>
          <w:color w:val="0A1628"/>
          <w:sz w:val="28"/>
          <w:szCs w:val="28"/>
        </w:rPr>
        <w:t xml:space="preserve">Fase 1: Configuración Inicial (Semanas 1-2)</w:t>
      </w:r>
      <w:bookmarkEnd w:id="100031"/>
    </w:p>
    <w:p>
      <w:pPr>
        <w:spacing w:after="120" w:line="312"/>
        <w:jc w:val="both"/>
      </w:pPr>
      <w:r>
        <w:rPr>
          <w:rFonts w:ascii="Calibri" w:eastAsia="Calibri"/>
          <w:color w:val="1A1A2E"/>
          <w:sz w:val="24"/>
          <w:szCs w:val="24"/>
        </w:rPr>
        <w:t xml:space="preserve">La primera fase se centra en establecer la infraestructura base de la plataforma para la organización cliente. Incluye la creación de la cuenta, configuración de las dependencias, carga de templates de formatos y definición de las reglas de escalamiento específicas del cliente.</w:t>
      </w:r>
    </w:p>
    <w:p>
      <w:pPr>
        <w:pStyle w:val="Heading2"/>
        <w:spacing w:after="120" w:before="240" w:line="312"/>
      </w:pPr>
      <w:bookmarkStart w:id="100032" w:name="_Toc100032"/>
      <w:r>
        <w:rPr>
          <w:rFonts w:ascii="Calibri" w:eastAsia="Calibri"/>
          <w:b/>
          <w:bCs/>
          <w:color w:val="0A1628"/>
          <w:sz w:val="28"/>
          <w:szCs w:val="28"/>
        </w:rPr>
        <w:t xml:space="preserve">Fase 2: Capacitación (Semanas 3-4)</w:t>
      </w:r>
      <w:bookmarkEnd w:id="100032"/>
    </w:p>
    <w:p>
      <w:pPr>
        <w:spacing w:after="120" w:line="312"/>
        <w:jc w:val="both"/>
      </w:pPr>
      <w:r>
        <w:rPr>
          <w:rFonts w:ascii="Calibri" w:eastAsia="Calibri"/>
          <w:color w:val="1A1A2E"/>
          <w:sz w:val="24"/>
          <w:szCs w:val="24"/>
        </w:rPr>
        <w:t xml:space="preserve">Entrenamiento de la Ejecutiva de Cuenta en el uso de la plataforma, incluyendo gestión de formatos, escalamiento a dependencias, revisión de respuestas y generación de documentos finales. También se capacita a las dependencias en el proceso de recepción, diligenciamiento y retorno de formatos.</w:t>
      </w:r>
    </w:p>
    <w:p>
      <w:pPr>
        <w:pStyle w:val="Heading2"/>
        <w:spacing w:after="120" w:before="240" w:line="312"/>
      </w:pPr>
      <w:bookmarkStart w:id="100033" w:name="_Toc100033"/>
      <w:r>
        <w:rPr>
          <w:rFonts w:ascii="Calibri" w:eastAsia="Calibri"/>
          <w:b/>
          <w:bCs/>
          <w:color w:val="0A1628"/>
          <w:sz w:val="28"/>
          <w:szCs w:val="28"/>
        </w:rPr>
        <w:t xml:space="preserve">Fase 3: Piloto (Semanas 5-8)</w:t>
      </w:r>
      <w:bookmarkEnd w:id="100033"/>
    </w:p>
    <w:p>
      <w:pPr>
        <w:spacing w:after="120" w:line="312"/>
        <w:jc w:val="both"/>
      </w:pPr>
      <w:r>
        <w:rPr>
          <w:rFonts w:ascii="Calibri" w:eastAsia="Calibri"/>
          <w:color w:val="1A1A2E"/>
          <w:sz w:val="24"/>
          <w:szCs w:val="24"/>
        </w:rPr>
        <w:t xml:space="preserve">Ejecución de un piloto con un grupo reducido de formatos de servicio para validar el flujo Hub &amp; Spoke, identificar ajustes necesarios y medir los tiempos de respuesta reales. Durante esta fase se realizan iteraciones rápidas para optimizar el proceso.</w:t>
      </w:r>
    </w:p>
    <w:p>
      <w:pPr>
        <w:pStyle w:val="Heading2"/>
        <w:spacing w:after="120" w:before="240" w:line="312"/>
      </w:pPr>
      <w:bookmarkStart w:id="100034" w:name="_Toc100034"/>
      <w:r>
        <w:rPr>
          <w:rFonts w:ascii="Calibri" w:eastAsia="Calibri"/>
          <w:b/>
          <w:bCs/>
          <w:color w:val="0A1628"/>
          <w:sz w:val="28"/>
          <w:szCs w:val="28"/>
        </w:rPr>
        <w:t xml:space="preserve">Fase 4: Despliegue Completo (Semanas 9-10)</w:t>
      </w:r>
      <w:bookmarkEnd w:id="100034"/>
    </w:p>
    <w:p>
      <w:pPr>
        <w:spacing w:after="120" w:line="312"/>
        <w:jc w:val="both"/>
      </w:pPr>
      <w:r>
        <w:rPr>
          <w:rFonts w:ascii="Calibri" w:eastAsia="Calibri"/>
          <w:color w:val="1A1A2E"/>
          <w:sz w:val="24"/>
          <w:szCs w:val="24"/>
        </w:rPr>
        <w:t xml:space="preserve">Activación de la plataforma para todos los formatos y dependencias de la organización. Migración de cualquier proceso existente al nuevo sistema y configuración de integraciones con sistemas de correo electrónico y otras herramientas operativas.</w:t>
      </w:r>
    </w:p>
    <w:p>
      <w:pPr>
        <w:pStyle w:val="Heading2"/>
        <w:spacing w:after="120" w:before="240" w:line="312"/>
      </w:pPr>
      <w:bookmarkStart w:id="100035" w:name="_Toc100035"/>
      <w:r>
        <w:rPr>
          <w:rFonts w:ascii="Calibri" w:eastAsia="Calibri"/>
          <w:b/>
          <w:bCs/>
          <w:color w:val="0A1628"/>
          <w:sz w:val="28"/>
          <w:szCs w:val="28"/>
        </w:rPr>
        <w:t xml:space="preserve">Fase 5: Optimización Continua (Mes 3 en adelante)</w:t>
      </w:r>
      <w:bookmarkEnd w:id="100035"/>
    </w:p>
    <w:p>
      <w:pPr>
        <w:spacing w:after="120" w:line="312"/>
        <w:jc w:val="both"/>
      </w:pPr>
      <w:r>
        <w:rPr>
          <w:rFonts w:ascii="Calibri" w:eastAsia="Calibri"/>
          <w:color w:val="1A1A2E"/>
          <w:sz w:val="24"/>
          <w:szCs w:val="24"/>
        </w:rPr>
        <w:t xml:space="preserve">Revisión periódica de métricas de rendimiento, ajuste de reglas de escalamiento según patrones observados y adición de nuevas funcionalidades basadas en las necesidades del cliente. Se establece un ciclo trimestral de revisión y mejora.</w:t>
      </w:r>
    </w:p>
    <w:p>
      <w:pPr>
        <w:spacing w:after="60" w:before="60"/>
      </w:pPr>
    </w:p>
    <w:tbl>
      <w:tblPr>
        <w:tblW w:type="pct" w:w="100%"/>
        <w:tblBorders>
          <w:top w:val="single" w:color="007AFF" w:sz="2"/>
          <w:left w:val="none"/>
          <w:bottom w:val="single" w:color="007AFF" w:sz="2"/>
          <w:right w:val="none"/>
          <w:insideH w:val="single" w:color="D0E0F0" w:sz="1"/>
          <w:insideV w:val="none"/>
        </w:tblBorders>
        <w:tblLayout w:type="fixed"/>
      </w:tblPr>
      <w:tblGrid>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Fase</w:t>
            </w:r>
          </w:p>
        </w:tc>
        <w:tc>
          <w:tcPr>
            <w:tcW w:type="pct" w:w="2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Duración</w:t>
            </w:r>
          </w:p>
        </w:tc>
        <w:tc>
          <w:tcPr>
            <w:tcW w:type="pct" w:w="45%"/>
            <w:tcBorders>
              <w:top w:val="none" w:color="FFFFFF" w:sz="0"/>
              <w:left w:val="none" w:color="FFFFFF" w:sz="0"/>
              <w:bottom w:val="none" w:color="FFFFFF" w:sz="0"/>
              <w:right w:val="none" w:color="FFFFFF" w:sz="0"/>
            </w:tcBorders>
            <w:shd w:fill="007AFF" w:val="clear"/>
            <w:tcMar>
              <w:top w:type="dxa" w:w="60"/>
              <w:left w:type="dxa" w:w="120"/>
              <w:bottom w:type="dxa" w:w="60"/>
              <w:right w:type="dxa" w:w="120"/>
            </w:tcMar>
          </w:tcPr>
          <w:p>
            <w:r>
              <w:rPr>
                <w:rFonts w:ascii="Calibri" w:eastAsia="Calibri"/>
                <w:b/>
                <w:bCs/>
                <w:color w:val="FFFFFF"/>
                <w:sz w:val="21"/>
                <w:szCs w:val="21"/>
              </w:rPr>
              <w:t xml:space="preserve">Entregable Principal</w:t>
            </w:r>
          </w:p>
        </w:tc>
      </w:tr>
      <w:tr>
        <w:trPr>
          <w:cantSplit/>
        </w:trPr>
        <w:tc>
          <w:tcPr>
            <w:tcW w:type="pct" w:w="3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Configuración Inicial</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Semanas 1-2</w:t>
            </w:r>
          </w:p>
        </w:tc>
        <w:tc>
          <w:tcPr>
            <w:tcW w:type="pct" w:w="4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Plataforma configurada y templates cargados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Capacitación</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Semanas 3-4</w:t>
            </w:r>
          </w:p>
        </w:tc>
        <w:tc>
          <w:tcPr>
            <w:tcW w:type="pct" w:w="4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Personal entrenado y documentado</w:t>
            </w:r>
          </w:p>
        </w:tc>
      </w:tr>
      <w:tr>
        <w:trPr>
          <w:cantSplit/>
        </w:trPr>
        <w:tc>
          <w:tcPr>
            <w:tcW w:type="pct" w:w="3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Piloto</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Semanas 5-8</w:t>
            </w:r>
          </w:p>
        </w:tc>
        <w:tc>
          <w:tcPr>
            <w:tcW w:type="pct" w:w="4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Resultados validados con métricas reales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Despliegue Completo</w:t>
            </w:r>
          </w:p>
        </w:tc>
        <w:tc>
          <w:tcPr>
            <w:tcW w:type="pct" w:w="2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Semanas 9-10</w:t>
            </w:r>
          </w:p>
        </w:tc>
        <w:tc>
          <w:tcPr>
            <w:tcW w:type="pct" w:w="4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Calibri" w:eastAsia="Calibri"/>
                <w:color w:val="1A1A2E"/>
                <w:sz w:val="21"/>
                <w:szCs w:val="21"/>
              </w:rPr>
              <w:t xml:space="preserve">Operación en producción</w:t>
            </w:r>
          </w:p>
        </w:tc>
      </w:tr>
      <w:tr>
        <w:trPr>
          <w:cantSplit/>
        </w:trPr>
        <w:tc>
          <w:tcPr>
            <w:tcW w:type="pct" w:w="30%"/>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Optimización Continua</w:t>
            </w:r>
          </w:p>
        </w:tc>
        <w:tc>
          <w:tcPr>
            <w:tcW w:type="pct" w:w="2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Mes 3+</w:t>
            </w:r>
          </w:p>
        </w:tc>
        <w:tc>
          <w:tcPr>
            <w:tcW w:type="pct" w:w="45%"/>
            <w:tcBorders>
              <w:top w:val="none" w:color="FFFFFF" w:sz="0"/>
              <w:left w:val="none" w:color="FFFFFF" w:sz="0"/>
              <w:bottom w:val="none" w:color="FFFFFF" w:sz="0"/>
              <w:right w:val="none" w:color="FFFFFF" w:sz="0"/>
            </w:tcBorders>
            <w:shd w:fill="F0F6FF" w:val="clear"/>
            <w:tcMar>
              <w:top w:type="dxa" w:w="60"/>
              <w:left w:type="dxa" w:w="120"/>
              <w:bottom w:type="dxa" w:w="60"/>
              <w:right w:type="dxa" w:w="120"/>
            </w:tcMar>
          </w:tcPr>
          <w:p>
            <w:r>
              <w:rPr>
                <w:rFonts w:ascii="Calibri" w:eastAsia="Calibri"/>
                <w:color w:val="1A1A2E"/>
                <w:sz w:val="21"/>
                <w:szCs w:val="21"/>
              </w:rPr>
              <w:t xml:space="preserve">Informe de rendimiento y mejoras</w:t>
            </w:r>
          </w:p>
        </w:tc>
      </w:tr>
    </w:tbl>
    <w:p>
      <w:pPr>
        <w:pStyle w:val="Heading1"/>
        <w:spacing w:after="160" w:before="360" w:line="312"/>
      </w:pPr>
      <w:bookmarkStart w:id="100036" w:name="_Toc100036"/>
      <w:r>
        <w:rPr>
          <w:rFonts w:ascii="Calibri" w:eastAsia="Calibri"/>
          <w:b/>
          <w:bCs/>
          <w:color w:val="0A1628"/>
          <w:sz w:val="32"/>
          <w:szCs w:val="32"/>
        </w:rPr>
        <w:t xml:space="preserve">Conclusiones</w:t>
      </w:r>
      <w:bookmarkEnd w:id="100036"/>
    </w:p>
    <w:p>
      <w:pPr>
        <w:spacing w:after="120" w:line="312"/>
        <w:jc w:val="both"/>
      </w:pPr>
      <w:r>
        <w:rPr>
          <w:rFonts w:ascii="Calibri" w:eastAsia="Calibri"/>
          <w:color w:val="1A1A2E"/>
          <w:sz w:val="24"/>
          <w:szCs w:val="24"/>
        </w:rPr>
        <w:t xml:space="preserve">Glory Service Workflow representa una solución integral para la gestión de formatos de servicio en organizaciones que requieren la coordinación de múltiples departamentos. El modelo Hub &amp; Spoke, con la Ejecutiva de Cuenta como centro de operaciones, ofrece una alternativa eficiente y escalable a los procesos manuales actuales.</w:t>
      </w:r>
    </w:p>
    <w:p>
      <w:pPr>
        <w:spacing w:after="120" w:line="312"/>
        <w:jc w:val="both"/>
      </w:pPr>
      <w:r>
        <w:rPr>
          <w:rFonts w:ascii="Calibri" w:eastAsia="Calibri"/>
          <w:color w:val="1A1A2E"/>
          <w:sz w:val="24"/>
          <w:szCs w:val="24"/>
        </w:rPr>
        <w:t xml:space="preserve">La plataforma no solo automatiza la recolección y consolidación de información, sino que proporciona trazabilidad completa, tiempos de respuesta significativamente reducidos y calidad consistente en cada formato entregado. El modelo SaaS garantiza accesibilidad, escalabilidad y un retorno de inversión rápido para las organizaciones que lo implementan.</w:t>
      </w:r>
    </w:p>
    <w:p>
      <w:pPr>
        <w:spacing w:after="120" w:line="312"/>
        <w:jc w:val="both"/>
      </w:pPr>
      <w:r>
        <w:rPr>
          <w:rFonts w:ascii="Calibri" w:eastAsia="Calibri"/>
          <w:color w:val="1A1A2E"/>
          <w:sz w:val="24"/>
          <w:szCs w:val="24"/>
        </w:rPr>
        <w:t xml:space="preserve">Con un plan de implementación estructurado en cinco fases, las organizaciones pueden adoptar la plataforma de forma progresiva, minimizando el riesgo y maximizando el valor obtenido desde las primeras semanas de operación. La propuesta de valor se sustenta en la reducción de costos operativos, la mejora en la satisfacción del cliente y la independencia de conocimientos individuales para la operación del servicio.</w:t>
      </w:r>
    </w:p>
    <w:p>
      <w:pPr>
        <w:spacing w:after="120" w:line="312"/>
        <w:jc w:val="both"/>
      </w:pPr>
      <w:r>
        <w:rPr>
          <w:rFonts w:ascii="Calibri" w:eastAsia="Calibri"/>
          <w:color w:val="1A1A2E"/>
          <w:sz w:val="24"/>
          <w:szCs w:val="24"/>
        </w:rPr>
        <w:t xml:space="preserve">Glory Service Workflow está preparado para convertirse en la herramienta estándar de gestión de formatos de servicio, impulsando la eficiencia operativa y la excelencia en la atención al cliente.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color w:val="506080"/>
        <w:sz w:val="16"/>
        <w:szCs w:val="16"/>
      </w:rPr>
      <w:t xml:space="preserve">Glory Service Workflow | Documento de Negocio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2E"/>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Calibri"/>
      <w:b/>
      <w:bCs/>
      <w:color w:val="0A1628"/>
      <w:sz w:val="32"/>
      <w:szCs w:val="32"/>
    </w:rPr>
  </w:style>
  <w:style w:type="paragraph" w:styleId="Heading2">
    <w:name w:val="Heading 2"/>
    <w:basedOn w:val="Normal"/>
    <w:next w:val="Normal"/>
    <w:qFormat/>
    <w:pPr>
      <w:spacing w:after="120" w:before="240" w:line="312"/>
      <w:outlineLvl w:val="1"/>
    </w:pPr>
    <w:rPr>
      <w:rFonts w:ascii="Calibri" w:eastAsia="Calibri"/>
      <w:b/>
      <w:bCs/>
      <w:color w:val="0A1628"/>
      <w:sz w:val="28"/>
      <w:szCs w:val="28"/>
    </w:rPr>
  </w:style>
  <w:style w:type="paragraph" w:styleId="Heading3">
    <w:name w:val="Heading 3"/>
    <w:basedOn w:val="Normal"/>
    <w:next w:val="Normal"/>
    <w:qFormat/>
    <w:pPr>
      <w:spacing w:after="100" w:before="200" w:line="312"/>
      <w:outlineLvl w:val="2"/>
    </w:pPr>
    <w:rPr>
      <w:rFonts w:ascii="Calibri" w:eastAsia="Calibr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2026-04-14T22:50:54.493Z</dcterms:created>
  <dcterms:modified xsi:type="dcterms:W3CDTF">2026-04-14T22:50:54.493Z</dcterms:modified>
</cp:coreProperties>
</file>

<file path=docProps/custom.xml><?xml version="1.0" encoding="utf-8"?>
<Properties xmlns="http://schemas.openxmlformats.org/officeDocument/2006/custom-properties" xmlns:vt="http://schemas.openxmlformats.org/officeDocument/2006/docPropsVTypes"/>
</file>