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8374A"/>
          <w:sz w:val="42"/>
        </w:rPr>
        <w:t>Solicitud a Equipo 1: identidad y autorización</w:t>
      </w:r>
    </w:p>
    <w:p>
      <w:pPr>
        <w:spacing w:after="80"/>
      </w:pPr>
      <w:r>
        <w:rPr>
          <w:color w:val="405D6D"/>
          <w:sz w:val="24"/>
        </w:rPr>
        <w:t>Integración de Comunidad y Finanzas · Propuesta redactada por Equipo 6</w:t>
      </w:r>
    </w:p>
    <w:p>
      <w:pPr>
        <w:spacing w:after="200"/>
      </w:pPr>
      <w:r>
        <w:rPr>
          <w:color w:val="657380"/>
          <w:sz w:val="18"/>
        </w:rPr>
        <w:t>Propuesta para acuerdo · 12 de octubre de 2026</w:t>
      </w:r>
    </w:p>
    <w:p>
      <w:pPr>
        <w:pStyle w:val="Heading1"/>
      </w:pPr>
      <w:r>
        <w:t>1. Información general y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597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Proyecto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Campus Digital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Emisor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Equipo 6 — Comunidad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Destinatario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Equipo 1 — Identidad y autorización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Coordinación solicitada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Equipo 2 — Finanzas. Esta propuesta es redactada por E6; la validación y participación de E2 están pendientes.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Asunto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Aclarar identidad, autoridad y contexto del actor para integrar eventos, becas y caja.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Fecha de elaboración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12 de octubre de 2026 · America/Mexico_City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Referencias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Solicitud de E2 a E6 del 12/10 y respuesta de E6 a E2, especialmente el acuerdo A6.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Estado / prioridad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Propuesta para coordinación · Alta. Responsables, alcance final y fecha de entrega por confirmar.</w:t>
            </w:r>
          </w:p>
        </w:tc>
      </w:tr>
    </w:tbl>
    <w:p>
      <w:pPr>
        <w:spacing w:after="20"/>
      </w:pPr>
    </w:p>
    <w:p>
      <w:r>
        <w:t>Solicitamos definir cómo consumir correctamente Identidad en la integración E6–E2. E1 es la fuente de verdad de identidad y de los roles/permisos institucionales que administra. E6 conserva organizaciones, cargos, periodos, delegaciones de su dominio, reservas y dictámenes. E2 conserva la autorización y ejecución de sus operaciones financieras conforme a las atribuciones aprobadas.</w:t>
      </w:r>
    </w:p>
    <w:p>
      <w:r>
        <w:t>E6 y E2 se adaptarán al contrato propietario de E1. Primero necesitamos aclarar responsabilidades y mecanismo oficial de consumo; después, si hace falta una capacidad adicional, acordar su alcance y dueño. No se da por aprobado un nuevo rol, scope, endpoint o esquema de delegación.</w:t>
      </w:r>
    </w:p>
    <w:p>
      <w:r>
        <w:t>La aplicación es un monolito Laravel modular. El intercambio entre dominios se hará por HTTP/API; la sesión compartida puede identificar al actor humano, pero no autoriza consultas directas a las colecciones de Identidad desde E2/E6.</w:t>
      </w:r>
    </w:p>
    <w:p>
      <w:pPr>
        <w:pStyle w:val="Heading1"/>
      </w:pPr>
      <w:r>
        <w:t>2. Base publicada y necesidad de coordinación</w:t>
      </w:r>
    </w:p>
    <w:p>
      <w:r>
        <w:t>Referencias verificadas el 12/10: E1, rama feat/modulo-1-equipo-1, commit 86111548a7659ffa3dab4fd6ee441bb70160b3d9; E2, rama feat/modulo-2-equipo-2, commit 39de155c98469c8a1972814a3e9d508f1bd70410.</w:t>
      </w:r>
    </w:p>
    <w:p>
      <w:pPr>
        <w:pStyle w:val="ListBullet"/>
        <w:spacing w:after="60"/>
      </w:pPr>
      <w:r>
        <w:t>E1 define User._id como identificador externo canónico. Matrícula y StudentProfile._id no lo sustituyen.</w:t>
      </w:r>
    </w:p>
    <w:p>
      <w:pPr>
        <w:pStyle w:val="ListBullet"/>
        <w:spacing w:after="60"/>
      </w:pPr>
      <w:r>
        <w:t>OAuth de servicios autentica a una aplicación; no identifica automáticamente al actor humano. El subject_id de una consulta business es el sujeto evaluado y no demuestra quién originó la petición.</w:t>
      </w:r>
    </w:p>
    <w:p>
      <w:pPr>
        <w:pStyle w:val="ListBullet"/>
        <w:spacing w:after="60"/>
      </w:pPr>
      <w:r>
        <w:t>Las APIs públicas de check/read de autorización descritas por E1 tienen ámbito business. La autorización institucional existe internamente y sus responsabilidades/ámbitos no equivalen a un contrato financiero externo.</w:t>
      </w:r>
    </w:p>
    <w:p>
      <w:pPr>
        <w:pStyle w:val="ListBullet"/>
        <w:spacing w:after="60"/>
      </w:pPr>
      <w:r>
        <w:t>QR/NFC o estado académico aportan identificación/información; no autorizan por sí mismos cobros, uso de fondos, becas o acceso al evento.</w:t>
      </w:r>
    </w:p>
    <w:p>
      <w:pPr>
        <w:pStyle w:val="ListBullet"/>
        <w:spacing w:after="60"/>
      </w:pPr>
      <w:r>
        <w:t>E2 mantiene proveedores de permisos financieros y delegación pendientes. Sus contratos de transferencias/comprobantes proponen validar actor y solicitud, pero ese mecanismo no se presume aprobado ni se extrapola a pagos de eventos o becas.</w:t>
      </w:r>
    </w:p>
    <w:p>
      <w:r>
        <w:t>Los nombres FinancialRoleProvider, FinancialWebAuthorizer, BonusAuthorizationProvider, CashAuthorizationProvider, TransferDelegationProvider y ReceiptDelegationProvider son interfaces internas de Finanzas. Se citan para localizar la dependencia; no implican que E1 deba implementar esas clases ni asumir las reglas financieras.</w:t>
      </w:r>
    </w:p>
    <w:p>
      <w:pPr>
        <w:pStyle w:val="Heading1"/>
      </w:pPr>
      <w:r>
        <w:t>3. Aclaraciones solicitadas: I1–I8</w:t>
      </w:r>
    </w:p>
    <w:p>
      <w:r>
        <w:t>Solicitamos responder numerando I1–I8. Para cada punto, indicar responsabilidad y contrato publicado que podemos consumir; si no existe una capacidad aplicable, señalar el acuerdo o equipo/autoridad que debe resolverla. No necesitamos que definan todavía endpoints nuevos ni que publiquen permisos financieros sin un acuerdo funcional.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824"/>
      </w:tblGrid>
      <w:tr>
        <w:trPr>
          <w:tblHeader/>
          <w:cantSplit/>
        </w:trPr>
        <w:tc>
          <w:tcPr>
            <w:tcW w:type="dxa" w:w="2041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Punto</w:t>
            </w:r>
          </w:p>
        </w:tc>
        <w:tc>
          <w:tcPr>
            <w:tcW w:type="dxa" w:w="7824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Necesidad y respuesta solicitada</w:t>
            </w:r>
          </w:p>
        </w:tc>
      </w:tr>
      <w:tr>
        <w:trPr>
          <w:cantSplit/>
        </w:trPr>
        <w:tc>
          <w:tcPr>
            <w:tcW w:type="dxa" w:w="2041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I1 · Identidad y estado de cuenta</w:t>
            </w:r>
          </w:p>
        </w:tc>
        <w:tc>
          <w:tcPr>
            <w:tcW w:type="dxa" w:w="7824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¿Cómo verificamos por contrato oficial el actor, pagador o beneficiario conocido por User._id y las condiciones de cuenta/sesión que deben impedir una operación? Distinguir cuenta activa, perfil/estado académico, contraseña inicial, sesión revocada y política 2FA. Precisar qué puede comprobar E1 y qué decide E2/E6. Un perfil académico ausente no debe interpretarse automáticamente como cuenta inexistente.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I2 · Actor en llamadas HTTP</w:t>
            </w:r>
          </w:p>
        </w:tc>
        <w:tc>
          <w:tcPr>
            <w:tcW w:type="dxa" w:w="782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¿Qué mecanismo oficial permite vincular el usuario de la sesión humana a una solicitud de E6 hacia E2? Explicar cómo se distingue cliente OAuth de actor y cómo se evita confiar en user_id, roles o encabezados arbitrarios del navegador. Si se admite contexto de sesión validado por servidor, definir su frontera de confianza sin leer colecciones ajenas.</w:t>
            </w:r>
          </w:p>
        </w:tc>
      </w:tr>
      <w:tr>
        <w:trPr>
          <w:cantSplit/>
        </w:trPr>
        <w:tc>
          <w:tcPr>
            <w:tcW w:type="dxa" w:w="2041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I3 · Consentimiento de la operación</w:t>
            </w:r>
          </w:p>
        </w:tc>
        <w:tc>
          <w:tcPr>
            <w:tcW w:type="dxa" w:w="7824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¿Cómo debe acreditarse el consentimiento del pagador de un evento, separado de la facultad del administrador de la organización? Precisar confirmación, alcance y vigencia; qué datos/operación quedan vinculados y cómo se invalida. Para becas, distinguir autorización del emisor/fondos de identidad del beneficiario. E2 debe validar que el mecanismo sea compatible con su ejecución.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I4 · Cargo y permiso financiero</w:t>
            </w:r>
          </w:p>
        </w:tc>
        <w:tc>
          <w:tcPr>
            <w:tcW w:type="dxa" w:w="782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Confirmar cómo componemos la identidad/autorización institucional de E1, el cargo y periodo de E6 y el permiso financiero de E2. Presidencia/tesorería son cargos de Comunidad; no deben duplicarse como roles generales. Consultar caja, operar efectivo, solicitar un cobro, emitir apoyo y autorizar devolución son capacidades distintas; el nombre del cargo o admin global no las concede automáticamente.</w:t>
            </w:r>
          </w:p>
        </w:tc>
      </w:tr>
      <w:tr>
        <w:trPr>
          <w:cantSplit/>
        </w:trPr>
        <w:tc>
          <w:tcPr>
            <w:tcW w:type="dxa" w:w="2041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I5 · Autoridad y ámbitos</w:t>
            </w:r>
          </w:p>
        </w:tc>
        <w:tc>
          <w:tcPr>
            <w:tcW w:type="dxa" w:w="7824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¿Qué autoridad institucional puede otorgar/revocar las atribuciones requeridas y qué parte corresponde resolver a E1, E2, E6 o a la institución? Precisar ámbito: organización/asociación, campus, negocio u otro aprobado. Usar IDs de sus fuentes canónicas, sin inferirlos de nombres. organization_manager/career_coordinator no se considerarán permisos de uso de fondos por defecto.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I6 · Vigencia y revocación</w:t>
            </w:r>
          </w:p>
        </w:tc>
        <w:tc>
          <w:tcPr>
            <w:tcW w:type="dxa" w:w="782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¿Qué debe revalidarse al ejecutar una operación sensible y con qué política de revocación/caché? Distinguir cargo vencido o revocado, suspensión de organización, estado de cuenta, sesión y cliente de servicio. Solicitar o poseer un token no demuestra que esos estados sigan vigentes. Acordar la respuesta ante dependencia no disponible y los casos que deben negar una nueva acción.</w:t>
            </w:r>
          </w:p>
        </w:tc>
      </w:tr>
      <w:tr>
        <w:trPr>
          <w:cantSplit/>
        </w:trPr>
        <w:tc>
          <w:tcPr>
            <w:tcW w:type="dxa" w:w="2041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I7 · Worker, reintentos y conciliación</w:t>
            </w:r>
          </w:p>
        </w:tc>
        <w:tc>
          <w:tcPr>
            <w:tcW w:type="dxa" w:w="7824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¿Cómo se autoriza el proceso de E6 que entrega una beca o recupera un resultado después de que la sesión termine o el cargo cambie? Diferenciar iniciar una operación nueva, ejecutar una ya solicitada, consultar evidencia previa y pedir un reverso nuevo. Definir autoridad del servicio/origen y qué se conserva como evidencia; no fabricar una sesión humana ni reutilizar pruebas vencidas. La recuperación debe seguir siendo idempotente.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I8 · Contrato consumible y coordinación</w:t>
            </w:r>
          </w:p>
        </w:tc>
        <w:tc>
          <w:tcPr>
            <w:tcW w:type="dxa" w:w="782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Indicar la documentación, versión y rama/commit oficiales aplicables; autenticación, contexto y campos mínimos verificables, límites y errores. Si se propone delegación, E1/E2 deben acordar cliente, usuario, finalidad, acción, solicitud, vigencia, revocación y repetición; el formato propuesto por E2 no se asume contrato de E1. Precisar responsable de cada adaptador y entrega adicional necesaria.</w:t>
            </w:r>
          </w:p>
        </w:tc>
      </w:tr>
    </w:tbl>
    <w:p>
      <w:pPr>
        <w:spacing w:after="20"/>
      </w:pPr>
    </w:p>
    <w:p>
      <w:r>
        <w:t>La respuesta debe mantener separadas identificación, autorización, consentimiento y elegibilidad. Tampoco se solicita a E1 decidir el importe, saldo, fuente concreta de fondos, regla de reembolso, cupo del evento o dictamen académico: pertenecen a los dominios y autoridades correspondientes.</w:t>
      </w:r>
    </w:p>
    <w:p>
      <w:pPr>
        <w:pStyle w:val="Heading1"/>
      </w:pPr>
      <w:r>
        <w:t>4. Casos que debemos poder demostrar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Flujo</w:t>
            </w:r>
          </w:p>
        </w:tc>
        <w:tc>
          <w:tcPr>
            <w:tcW w:type="dxa" w:w="7597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Datos y decisiones que deben coordinarse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Evento con costo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E6 reserva un lugar y fija importe/origen; E1 valida identidad/contexto del pagador; E2 confirma consentimiento, autorización y pago. E6 habilita boleto solo con lugar vigente y evidencia financiera válida. Reservar no demuestra consentimiento de débito.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Beca monetaria o bono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E6 registra dictamen y beneficio aprobado; la autoridad/emisor y fuente de fondos se validan por el mecanismo acordado; E2 ejecuta y conserva ledger. La aprobación de E6 no concede permiso de fondos ni acredita entrega.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Consulta de caja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Se identifican actor y organización; E6 aporta cargo/contexto vigente; E2 aplica el permiso de consulta y aislamiento. Ese permiso no habilita recarga, retiro o ajuste.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Cargo revocado o respuesta perdida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No se habilita una nueva acción con el cargo revocado. El resultado de una solicitud anterior no debe perderse ni duplicarse: la autoridad para conciliar/consultar se define expresamente. Una devolución nueva mantiene sus propios permisos.</w:t>
            </w:r>
          </w:p>
        </w:tc>
      </w:tr>
    </w:tbl>
    <w:p>
      <w:pPr>
        <w:spacing w:after="20"/>
      </w:pPr>
    </w:p>
    <w:p>
      <w:r>
        <w:t>Criterios de aceptación propuestos para la integración acordada:</w:t>
      </w:r>
    </w:p>
    <w:p>
      <w:pPr>
        <w:pStyle w:val="ListBullet"/>
        <w:spacing w:after="60"/>
      </w:pPr>
      <w:r>
        <w:t>Un cliente de servicio válido sin contexto humano requerido no puede actuar como cualquier usuario.</w:t>
      </w:r>
    </w:p>
    <w:p>
      <w:pPr>
        <w:pStyle w:val="ListBullet"/>
        <w:spacing w:after="60"/>
      </w:pPr>
      <w:r>
        <w:t>Un rol/cargo enviado por el navegador o una identidad QR/NFC no concede autoridad financiera.</w:t>
      </w:r>
    </w:p>
    <w:p>
      <w:pPr>
        <w:pStyle w:val="ListBullet"/>
        <w:spacing w:after="60"/>
      </w:pPr>
      <w:r>
        <w:t>Un cargo, asignación o cuenta no vigente impide la acción nueva que dependa de su autoridad; la regla concreta de revocación queda documentada.</w:t>
      </w:r>
    </w:p>
    <w:p>
      <w:pPr>
        <w:pStyle w:val="ListBullet"/>
        <w:spacing w:after="60"/>
      </w:pPr>
      <w:r>
        <w:t>El ámbito de una organización/negocio no autoriza operaciones en otro; los IDs se validan contra su fuente propietaria.</w:t>
      </w:r>
    </w:p>
    <w:p>
      <w:pPr>
        <w:pStyle w:val="ListBullet"/>
        <w:spacing w:after="60"/>
      </w:pPr>
      <w:r>
        <w:t>El consentimiento exigido queda vinculado a la operación prevista y no permite cambiar pagador, importe, destinatario o finalidad.</w:t>
      </w:r>
    </w:p>
    <w:p>
      <w:pPr>
        <w:pStyle w:val="ListBullet"/>
        <w:spacing w:after="60"/>
      </w:pPr>
      <w:r>
        <w:t>Reintentos y respuestas tardías conservan trazabilidad sin duplicar movimientos; conciliación y autorización de una nueva operación se distinguen.</w:t>
      </w:r>
    </w:p>
    <w:p>
      <w:pPr>
        <w:pStyle w:val="ListBullet"/>
        <w:spacing w:after="60"/>
      </w:pPr>
      <w:r>
        <w:t>Una dependencia ausente no se resuelve con permisos simulados; se demuestra la ruta denegada y el tratamiento recuperable.</w:t>
      </w:r>
    </w:p>
    <w:p>
      <w:pPr>
        <w:pStyle w:val="ListBullet"/>
        <w:spacing w:after="60"/>
      </w:pPr>
      <w:r>
        <w:t>Los consumidores usan contratos HTTP oficiales y no consultan colecciones de Identidad; no registran secretos ni pruebas crudas.</w:t>
      </w:r>
    </w:p>
    <w:p>
      <w:pPr>
        <w:pStyle w:val="Heading1"/>
      </w:pPr>
      <w:r>
        <w:t>5. Entregables, responsables y referencias</w:t>
      </w:r>
    </w:p>
    <w:p>
      <w:pPr>
        <w:pStyle w:val="ListBullet"/>
        <w:spacing w:after="60"/>
      </w:pPr>
      <w:r>
        <w:t>Primero: respuesta funcional I1–I8 y acuerdo de responsabilidades E1/E2/E6. E2 debe validar especialmente I3, I4 e I7 antes de considerar conjunta la decisión.</w:t>
      </w:r>
    </w:p>
    <w:p>
      <w:pPr>
        <w:pStyle w:val="ListBullet"/>
        <w:spacing w:after="60"/>
      </w:pPr>
      <w:r>
        <w:t>Después: referencia al contrato ya publicado o propuesta de la capacidad faltante con responsable; ejemplos válidos/denegados y política de vigencia/revocación.</w:t>
      </w:r>
    </w:p>
    <w:p>
      <w:pPr>
        <w:pStyle w:val="ListBullet"/>
        <w:spacing w:after="60"/>
      </w:pPr>
      <w:r>
        <w:t>E6/E2 implementarán sus adaptadores conforme al contrato aprobado. La entrega incluirá pruebas del flujo conjunto y rama/commit reproducible para Testings.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Coordinación</w:t>
            </w:r>
          </w:p>
        </w:tc>
        <w:tc>
          <w:tcPr>
            <w:tcW w:type="dxa" w:w="7597"/>
            <w:shd w:fill="18374A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Responsable E6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Por confirmar.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Responsable E1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Por confirmar.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Validación y responsable E2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Pendientes; este documento no representa firma ni acuerdo del Equipo 2.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Autoridad institucional otorgante</w:t>
            </w:r>
          </w:p>
        </w:tc>
        <w:tc>
          <w:tcPr>
            <w:tcW w:type="dxa" w:w="759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Por confirmar según el acuerdo funcional; no se asigna desde esta solicitud.</w:t>
            </w:r>
          </w:p>
        </w:tc>
      </w:tr>
      <w:tr>
        <w:trPr>
          <w:cantSplit/>
        </w:trPr>
        <w:tc>
          <w:tcPr>
            <w:tcW w:type="dxa" w:w="2268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Estimación/fecha de entrega</w:t>
            </w:r>
          </w:p>
        </w:tc>
        <w:tc>
          <w:tcPr>
            <w:tcW w:type="dxa" w:w="7597"/>
            <w:shd w:fill="F0F4F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rFonts w:ascii="Aptos" w:hAnsi="Aptos"/>
                <w:sz w:val="19"/>
              </w:rPr>
              <w:t>Se definirán al cerrar alcance y dependencias. La fecha del documento es de elaboración.</w:t>
            </w:r>
          </w:p>
        </w:tc>
      </w:tr>
    </w:tbl>
    <w:p>
      <w:pPr>
        <w:spacing w:after="20"/>
      </w:pPr>
    </w:p>
    <w:p>
      <w:r>
        <w:t>Fuentes revisadas; los enlaces apuntan a commits exactos:</w:t>
      </w:r>
    </w:p>
    <w:p>
      <w:hyperlink r:id="rId9">
        <w:r>
          <w:rPr>
            <w:color w:val="21638B"/>
            <w:u w:val="single"/>
          </w:rPr>
          <w:t>E1 — Contrato publicado de integración de Identidad</w:t>
        </w:r>
      </w:hyperlink>
    </w:p>
    <w:p>
      <w:hyperlink r:id="rId10">
        <w:r>
          <w:rPr>
            <w:color w:val="21638B"/>
            <w:u w:val="single"/>
          </w:rPr>
          <w:t>E2 — Bindings y proveedores pendientes</w:t>
        </w:r>
      </w:hyperlink>
    </w:p>
    <w:p>
      <w:hyperlink r:id="rId11">
        <w:r>
          <w:rPr>
            <w:color w:val="21638B"/>
            <w:u w:val="single"/>
          </w:rPr>
          <w:t>E2 — Propuesta de delegación para transferencias</w:t>
        </w:r>
      </w:hyperlink>
    </w:p>
    <w:p>
      <w:hyperlink r:id="rId12">
        <w:r>
          <w:rPr>
            <w:color w:val="21638B"/>
            <w:u w:val="single"/>
          </w:rPr>
          <w:t>E2 — Propuesta de consulta delegada de comprobantes</w:t>
        </w:r>
      </w:hyperlink>
    </w:p>
    <w:p>
      <w:r>
        <w:t>Referencia de E6: RESPUESTA_EQUIPO6_A_EQUIPO2_2026-10-12, acuerdo A6. El avance local 1–5–6 de E6 aún no está publicado; se proporcionará evidencia al entregarlo. Esta solicitud documenta necesidades y no acredita APIs nuevas, firmas, autorizaciones o pruebas ejecutadas.</w:t>
      </w:r>
    </w:p>
    <w:p>
      <w:r>
        <w:t>Para los agentes de IA: tomar el contrato propietario publicado de E1 como referencia, distinguir propuestas de acuerdos y no extrapolar el ámbito business a Finanzas/organizaciones. Los nombres de interfaces de E2 localizan trabajo de adaptación; no son endpoints ni obligaciones aceptadas por E1.</w:t>
      </w:r>
    </w:p>
    <w:sectPr w:rsidR="00FC693F" w:rsidRPr="0006063C" w:rsidSect="00034616">
      <w:footerReference w:type="default" r:id="rId13"/>
      <w:pgSz w:w="11906" w:h="16838"/>
      <w:pgMar w:top="907" w:right="1020" w:bottom="907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657380"/>
        <w:sz w:val="16"/>
      </w:rPr>
      <w:t xml:space="preserve">Campus Digital · Equipo 6 → Equipo 1  |  Página </w:t>
    </w:r>
    <w:fldSimple w:instr="PAGE"/>
    <w:r>
      <w:rPr>
        <w:color w:val="657380"/>
        <w:sz w:val="16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837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837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oyecto-Grupal-API/Proyecto_Grupal/blob/86111548a7659ffa3dab4fd6ee441bb70160b3d9/docs/integration/TEAM-1-INTEGRATION.md" TargetMode="External"/><Relationship Id="rId10" Type="http://schemas.openxmlformats.org/officeDocument/2006/relationships/hyperlink" Target="https://github.com/Proyecto-Grupal-API/Proyecto_Grupal/blob/39de155c98469c8a1972814a3e9d508f1bd70410/app/Providers/AppServiceProvider.php" TargetMode="External"/><Relationship Id="rId11" Type="http://schemas.openxmlformats.org/officeDocument/2006/relationships/hyperlink" Target="https://github.com/Proyecto-Grupal-API/Proyecto_Grupal/blob/39de155c98469c8a1972814a3e9d508f1bd70410/docs/modulo-2/2.6-api-delegada.md" TargetMode="External"/><Relationship Id="rId12" Type="http://schemas.openxmlformats.org/officeDocument/2006/relationships/hyperlink" Target="https://github.com/Proyecto-Grupal-API/Proyecto_Grupal/blob/39de155c98469c8a1972814a3e9d508f1bd70410/docs/modulo-2/2.9-api-comprobantes.md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a Equipo 1: identidad y autorización</dc:title>
  <dc:subject>Integración de Comunidad y Finanzas · Propuesta redactada por Equipo 6</dc:subject>
  <dc:creator>Equipo 6 — Comunidad</dc:creator>
  <cp:keywords>Campus Digital, Comunidad, Identidad, Finanzas, solicitud de aclaracion</cp:keywords>
  <dc:description>Solicitud redactada por E6 para coordinar con E1 y E2; no acredita firmas ni capacidades adicionales aprobadas.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