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E3A8A"/>
          <w:sz w:val="48"/>
        </w:rPr>
        <w:t>Campus Digital — Programa de Recompensas y Puntos</w:t>
      </w:r>
    </w:p>
    <w:p>
      <w:pPr>
        <w:spacing w:before="0" w:after="240"/>
        <w:jc w:val="left"/>
      </w:pPr>
      <w:r>
        <w:rPr>
          <w:i/>
          <w:color w:val="2563EB"/>
          <w:sz w:val="26"/>
        </w:rPr>
        <w:t>Equipo 7 | Documento Maestro de Avances, Arquitectura y Preparación para Integraciones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before="0" w:after="0"/>
            </w:pPr>
            <w:r>
              <w:rPr>
                <w:b/>
                <w:color w:val="1E3A8A"/>
              </w:rPr>
              <w:t xml:space="preserve">FICHA TÉCNICA DEL PROYECTO: </w:t>
            </w:r>
            <w:r>
              <w:rPr>
                <w:color w:val="1F2937"/>
                <w:sz w:val="21"/>
              </w:rPr>
              <w:t>• Materia: Ingeniería de Software (7mo Semestre)</w:t>
              <w:br/>
              <w:t>• Estado del Proyecto: 100% Funcional de Extremo a Extremo (30/30 Pruebas Pasadas)</w:t>
              <w:br/>
              <w:t>• Stack: Laravel 13, PHP 8.3-FPM, MongoDB 7 Replica Set (rs0), Vue 3, Vite, Tailwind CSS, Docker &amp; Nginx</w:t>
              <w:br/>
              <w:t>• URLs Activas: Frontend: http://localhost:5173 | API REST: http://localhost:8000/api/v1 | MongoDB: 127.0.0.1:27018</w:t>
            </w:r>
          </w:p>
        </w:tc>
      </w:tr>
    </w:tbl>
    <w:p/>
    <w:p>
      <w:pPr>
        <w:keepNext/>
        <w:spacing w:before="360" w:after="120"/>
      </w:pPr>
      <w:r>
        <w:rPr>
          <w:b/>
          <w:color w:val="1E3A8A"/>
          <w:sz w:val="32"/>
        </w:rPr>
        <w:t>1. Resumen Ejecutivo</w:t>
      </w:r>
    </w:p>
    <w:p>
      <w:r>
        <w:t>El Programa de Recompensas y Puntos (Equipo 7) constituye el motor transversal de lealtad, incentivos y gamificación de la plataforma universitaria Campus Digital. Su propósito principal es premiar el mérito académico, la participación en actividades extracurriculares y el consumo en los comercios afiliados del campus (cafeterías, librerías, papelerías) a través de una moneda digital interna denominada 'Puntos Campus'.</w:t>
      </w:r>
    </w:p>
    <w:p>
      <w:r>
        <w:t>A diferencia de soluciones convencionales basadas en simples acumuladores numéricos, la plataforma implementa una infraestructura de grado financiero con un Libro Mayor Inmutable de Doble Entrada (Ledger) sobre MongoDB Replica Set con soporte nativo para transacciones bancarias ACID, eliminando por completo cualquier posibilidad de condiciones de carrera, duplicidad de fondos o saldos negativos.</w:t>
      </w:r>
    </w:p>
    <w:p>
      <w:r>
        <w:rPr>
          <w:b/>
        </w:rPr>
        <w:t>Principales Hitos Alcanzados:</w:t>
        <w:br/>
      </w:r>
    </w:p>
    <w:p>
      <w:pPr>
        <w:pStyle w:val="ListBullet"/>
      </w:pPr>
      <w:r>
        <w:rPr>
          <w:b/>
        </w:rPr>
        <w:t xml:space="preserve">Despliegue Contenerizado en 1 Comando: </w:t>
      </w:r>
      <w:r>
        <w:t>Arquitectura basada en Docker Compose orquestando PHP 8.3 FPM, Nginx, MongoDB rs0 con autenticación por keyfile y servidor de desarrollo Vite.</w:t>
      </w:r>
    </w:p>
    <w:p>
      <w:pPr>
        <w:pStyle w:val="ListBullet"/>
      </w:pPr>
      <w:r>
        <w:rPr>
          <w:b/>
        </w:rPr>
        <w:t xml:space="preserve">Fiabilidad Contable Bancaria: </w:t>
      </w:r>
      <w:r>
        <w:t>PointsLedgerService con contabilidad de doble entrada, idempotencia matemática estricta y reconciliación contable en tiempo real.</w:t>
      </w:r>
    </w:p>
    <w:p>
      <w:pPr>
        <w:pStyle w:val="ListBullet"/>
      </w:pPr>
      <w:r>
        <w:rPr>
          <w:b/>
        </w:rPr>
        <w:t xml:space="preserve">Seguridad y RBAC Multi-Rol: </w:t>
      </w:r>
      <w:r>
        <w:t>Laravel Sanctum adaptado a colecciones NoSQL con soporte para Estudiantes, Profesores, Administradores y Administradores de Plataforma.</w:t>
      </w:r>
    </w:p>
    <w:p>
      <w:pPr>
        <w:pStyle w:val="ListBullet"/>
      </w:pPr>
      <w:r>
        <w:rPr>
          <w:b/>
        </w:rPr>
        <w:t xml:space="preserve">Frontend Reactivo SPA: </w:t>
      </w:r>
      <w:r>
        <w:t>13 vistas adaptativas desarrolladas en Vue 3 con Composition API, Tailwind CSS y conmutador de identidades en vivo para evaluación fluida.</w:t>
      </w:r>
    </w:p>
    <w:p>
      <w:pPr>
        <w:pStyle w:val="ListBullet"/>
      </w:pPr>
      <w:r>
        <w:rPr>
          <w:b/>
        </w:rPr>
        <w:t xml:space="preserve">Contratos de Integración Listos: </w:t>
      </w:r>
      <w:r>
        <w:t>Endpoint de ingesta de eventos con verificación de firma HMAC-SHA256 e idempotencia para Marketplace (Equipo 3).</w:t>
      </w:r>
    </w:p>
    <w:p>
      <w:pPr>
        <w:pStyle w:val="ListBullet"/>
      </w:pPr>
      <w:r>
        <w:rPr>
          <w:b/>
        </w:rPr>
        <w:t xml:space="preserve">Calidad de Software Certificada: </w:t>
      </w:r>
      <w:r>
        <w:t>30 de 30 pruebas automatizadas pasando con éxito (81 aserciones) y 0 errores de compilación.</w:t>
      </w:r>
    </w:p>
    <w:p>
      <w:pPr>
        <w:keepNext/>
        <w:spacing w:before="360" w:after="120"/>
      </w:pPr>
      <w:r>
        <w:rPr>
          <w:b/>
          <w:color w:val="1E3A8A"/>
          <w:sz w:val="32"/>
        </w:rPr>
        <w:t>2. Arquitectura Tecnológica del Sistema</w:t>
      </w:r>
    </w:p>
    <w:p>
      <w:r>
        <w:t>El sistema se organiza en cuatro capas claramente desacopladas que garantizan alta disponibilidad, seguridad perimetral y escalabilidad horizontal:</w:t>
      </w:r>
    </w:p>
    <w:tbl>
      <w:tblPr>
        <w:tblW w:type="auto" w:w="0"/>
        <w:jc w:val="center"/>
        <w:tblLayout w:type="fixed"/>
        <w:tblLook w:firstColumn="1" w:firstRow="1" w:lastColumn="0" w:lastRow="0" w:noHBand="0" w:noVBand="1" w:val="04A0"/>
      </w:tblPr>
      <w:tblGrid>
        <w:gridCol w:w="2160"/>
        <w:gridCol w:w="2592"/>
        <w:gridCol w:w="4608"/>
      </w:tblGrid>
      <w:tr>
        <w:tc>
          <w:tcPr>
            <w:tcW w:type="dxa" w:w="3120"/>
            <w:shd w:fill="1E3A8A"/>
            <w:tcMar>
              <w:top w:w="80" w:type="dxa"/>
              <w:bottom w:w="80" w:type="dxa"/>
              <w:left w:w="100" w:type="dxa"/>
              <w:right w:w="100" w:type="dxa"/>
            </w:tcMar>
          </w:tcPr>
          <w:p>
            <w:r>
              <w:rPr>
                <w:b/>
                <w:color w:val="FFFFFF"/>
                <w:sz w:val="20"/>
              </w:rPr>
              <w:t>Capa</w:t>
            </w:r>
          </w:p>
        </w:tc>
        <w:tc>
          <w:tcPr>
            <w:tcW w:type="dxa" w:w="3120"/>
            <w:shd w:fill="1E3A8A"/>
            <w:tcMar>
              <w:top w:w="80" w:type="dxa"/>
              <w:bottom w:w="80" w:type="dxa"/>
              <w:left w:w="100" w:type="dxa"/>
              <w:right w:w="100" w:type="dxa"/>
            </w:tcMar>
          </w:tcPr>
          <w:p>
            <w:r>
              <w:rPr>
                <w:b/>
                <w:color w:val="FFFFFF"/>
                <w:sz w:val="20"/>
              </w:rPr>
              <w:t>Tecnología</w:t>
            </w:r>
          </w:p>
        </w:tc>
        <w:tc>
          <w:tcPr>
            <w:tcW w:type="dxa" w:w="3120"/>
            <w:shd w:fill="1E3A8A"/>
            <w:tcMar>
              <w:top w:w="80" w:type="dxa"/>
              <w:bottom w:w="80" w:type="dxa"/>
              <w:left w:w="100" w:type="dxa"/>
              <w:right w:w="100" w:type="dxa"/>
            </w:tcMar>
          </w:tcPr>
          <w:p>
            <w:r>
              <w:rPr>
                <w:b/>
                <w:color w:val="FFFFFF"/>
                <w:sz w:val="20"/>
              </w:rPr>
              <w:t>Responsabilidad Principal</w:t>
            </w:r>
          </w:p>
        </w:tc>
      </w:tr>
      <w:tr>
        <w:tc>
          <w:tcPr>
            <w:tcW w:type="dxa" w:w="3120"/>
            <w:shd w:fill="F9FAFB"/>
            <w:tcMar>
              <w:top w:w="60" w:type="dxa"/>
              <w:bottom w:w="60" w:type="dxa"/>
              <w:left w:w="100" w:type="dxa"/>
              <w:right w:w="100" w:type="dxa"/>
            </w:tcMar>
          </w:tcPr>
          <w:p>
            <w:r>
              <w:rPr>
                <w:b/>
                <w:sz w:val="19"/>
              </w:rPr>
              <w:t>Presentación</w:t>
            </w:r>
          </w:p>
        </w:tc>
        <w:tc>
          <w:tcPr>
            <w:tcW w:type="dxa" w:w="3120"/>
            <w:shd w:fill="F9FAFB"/>
            <w:tcMar>
              <w:top w:w="60" w:type="dxa"/>
              <w:bottom w:w="60" w:type="dxa"/>
              <w:left w:w="100" w:type="dxa"/>
              <w:right w:w="100" w:type="dxa"/>
            </w:tcMar>
          </w:tcPr>
          <w:p>
            <w:r>
              <w:rPr>
                <w:sz w:val="19"/>
              </w:rPr>
              <w:t>Vue 3 + Vite + Tailwind</w:t>
            </w:r>
          </w:p>
        </w:tc>
        <w:tc>
          <w:tcPr>
            <w:tcW w:type="dxa" w:w="3120"/>
            <w:shd w:fill="F9FAFB"/>
            <w:tcMar>
              <w:top w:w="60" w:type="dxa"/>
              <w:bottom w:w="60" w:type="dxa"/>
              <w:left w:w="100" w:type="dxa"/>
              <w:right w:w="100" w:type="dxa"/>
            </w:tcMar>
          </w:tcPr>
          <w:p>
            <w:r>
              <w:rPr>
                <w:sz w:val="19"/>
              </w:rPr>
              <w:t>SPA reactiva, gestión de estado por rol, catálogo, terminal docente y panel de control.</w:t>
            </w:r>
          </w:p>
        </w:tc>
      </w:tr>
      <w:tr>
        <w:tc>
          <w:tcPr>
            <w:tcW w:type="dxa" w:w="3120"/>
            <w:shd w:fill="FFFFFF"/>
            <w:tcMar>
              <w:top w:w="60" w:type="dxa"/>
              <w:bottom w:w="60" w:type="dxa"/>
              <w:left w:w="100" w:type="dxa"/>
              <w:right w:w="100" w:type="dxa"/>
            </w:tcMar>
          </w:tcPr>
          <w:p>
            <w:r>
              <w:rPr>
                <w:b/>
                <w:sz w:val="19"/>
              </w:rPr>
              <w:t>Entrada / Gateway</w:t>
            </w:r>
          </w:p>
        </w:tc>
        <w:tc>
          <w:tcPr>
            <w:tcW w:type="dxa" w:w="3120"/>
            <w:shd w:fill="FFFFFF"/>
            <w:tcMar>
              <w:top w:w="60" w:type="dxa"/>
              <w:bottom w:w="60" w:type="dxa"/>
              <w:left w:w="100" w:type="dxa"/>
              <w:right w:w="100" w:type="dxa"/>
            </w:tcMar>
          </w:tcPr>
          <w:p>
            <w:r>
              <w:rPr>
                <w:sz w:val="19"/>
              </w:rPr>
              <w:t>Nginx Reverse Proxy</w:t>
            </w:r>
          </w:p>
        </w:tc>
        <w:tc>
          <w:tcPr>
            <w:tcW w:type="dxa" w:w="3120"/>
            <w:shd w:fill="FFFFFF"/>
            <w:tcMar>
              <w:top w:w="60" w:type="dxa"/>
              <w:bottom w:w="60" w:type="dxa"/>
              <w:left w:w="100" w:type="dxa"/>
              <w:right w:w="100" w:type="dxa"/>
            </w:tcMar>
          </w:tcPr>
          <w:p>
            <w:r>
              <w:rPr>
                <w:sz w:val="19"/>
              </w:rPr>
              <w:t>Terminación HTTP en puerto 8000, ruteo /api hacia PHP-FPM y cabeceras CORS de seguridad.</w:t>
            </w:r>
          </w:p>
        </w:tc>
      </w:tr>
      <w:tr>
        <w:tc>
          <w:tcPr>
            <w:tcW w:type="dxa" w:w="3120"/>
            <w:shd w:fill="F9FAFB"/>
            <w:tcMar>
              <w:top w:w="60" w:type="dxa"/>
              <w:bottom w:w="60" w:type="dxa"/>
              <w:left w:w="100" w:type="dxa"/>
              <w:right w:w="100" w:type="dxa"/>
            </w:tcMar>
          </w:tcPr>
          <w:p>
            <w:r>
              <w:rPr>
                <w:b/>
                <w:sz w:val="19"/>
              </w:rPr>
              <w:t>Lógica de Negocio</w:t>
            </w:r>
          </w:p>
        </w:tc>
        <w:tc>
          <w:tcPr>
            <w:tcW w:type="dxa" w:w="3120"/>
            <w:shd w:fill="F9FAFB"/>
            <w:tcMar>
              <w:top w:w="60" w:type="dxa"/>
              <w:bottom w:w="60" w:type="dxa"/>
              <w:left w:w="100" w:type="dxa"/>
              <w:right w:w="100" w:type="dxa"/>
            </w:tcMar>
          </w:tcPr>
          <w:p>
            <w:r>
              <w:rPr>
                <w:sz w:val="19"/>
              </w:rPr>
              <w:t>Laravel 13 (PHP 8.3)</w:t>
            </w:r>
          </w:p>
        </w:tc>
        <w:tc>
          <w:tcPr>
            <w:tcW w:type="dxa" w:w="3120"/>
            <w:shd w:fill="F9FAFB"/>
            <w:tcMar>
              <w:top w:w="60" w:type="dxa"/>
              <w:bottom w:w="60" w:type="dxa"/>
              <w:left w:w="100" w:type="dxa"/>
              <w:right w:w="100" w:type="dxa"/>
            </w:tcMar>
          </w:tcPr>
          <w:p>
            <w:r>
              <w:rPr>
                <w:sz w:val="19"/>
              </w:rPr>
              <w:t>Sanctum Auth NoSQL, PointsLedgerService, ciclo de vida de canjes, auditoría y webhooks.</w:t>
            </w:r>
          </w:p>
        </w:tc>
      </w:tr>
      <w:tr>
        <w:tc>
          <w:tcPr>
            <w:tcW w:type="dxa" w:w="3120"/>
            <w:shd w:fill="FFFFFF"/>
            <w:tcMar>
              <w:top w:w="60" w:type="dxa"/>
              <w:bottom w:w="60" w:type="dxa"/>
              <w:left w:w="100" w:type="dxa"/>
              <w:right w:w="100" w:type="dxa"/>
            </w:tcMar>
          </w:tcPr>
          <w:p>
            <w:r>
              <w:rPr>
                <w:b/>
                <w:sz w:val="19"/>
              </w:rPr>
              <w:t>Persistencia</w:t>
            </w:r>
          </w:p>
        </w:tc>
        <w:tc>
          <w:tcPr>
            <w:tcW w:type="dxa" w:w="3120"/>
            <w:shd w:fill="FFFFFF"/>
            <w:tcMar>
              <w:top w:w="60" w:type="dxa"/>
              <w:bottom w:w="60" w:type="dxa"/>
              <w:left w:w="100" w:type="dxa"/>
              <w:right w:w="100" w:type="dxa"/>
            </w:tcMar>
          </w:tcPr>
          <w:p>
            <w:r>
              <w:rPr>
                <w:sz w:val="19"/>
              </w:rPr>
              <w:t>MongoDB 7 Replica Set</w:t>
            </w:r>
          </w:p>
        </w:tc>
        <w:tc>
          <w:tcPr>
            <w:tcW w:type="dxa" w:w="3120"/>
            <w:shd w:fill="FFFFFF"/>
            <w:tcMar>
              <w:top w:w="60" w:type="dxa"/>
              <w:bottom w:w="60" w:type="dxa"/>
              <w:left w:w="100" w:type="dxa"/>
              <w:right w:w="100" w:type="dxa"/>
            </w:tcMar>
          </w:tcPr>
          <w:p>
            <w:r>
              <w:rPr>
                <w:sz w:val="19"/>
              </w:rPr>
              <w:t>Almacenamiento NoSQL con réplica set rs0 y transacciones ACID multi-documento.</w:t>
            </w:r>
          </w:p>
        </w:tc>
      </w:tr>
    </w:tbl>
    <w:p/>
    <w:p>
      <w:pPr>
        <w:keepNext/>
        <w:spacing w:before="360" w:after="120"/>
      </w:pPr>
      <w:r>
        <w:rPr>
          <w:b/>
          <w:color w:val="1E3A8A"/>
          <w:sz w:val="32"/>
        </w:rPr>
        <w:t>3. Avances y Módulos Desarrollados (Lo Construido)</w:t>
      </w:r>
    </w:p>
    <w:p>
      <w:pPr>
        <w:keepNext/>
        <w:spacing w:before="240" w:after="80"/>
      </w:pPr>
      <w:r>
        <w:rPr>
          <w:b/>
          <w:color w:val="2563EB"/>
          <w:sz w:val="26"/>
        </w:rPr>
        <w:t>3.1 Motor Contable y Libro Mayor (PointsLedgerService)</w:t>
      </w:r>
    </w:p>
    <w:p>
      <w:r>
        <w:t>Representa el núcleo financiero del sistema. Cada interacción económica registra una transacción inmutable en la colección 'ledger_entries' y sincroniza el saldo proyectado en 'accounts'. Soporta cinco operaciones principales:</w:t>
      </w:r>
    </w:p>
    <w:p>
      <w:pPr>
        <w:pStyle w:val="ListBullet"/>
      </w:pPr>
      <w:r>
        <w:rPr>
          <w:b/>
        </w:rPr>
        <w:t xml:space="preserve">earn: </w:t>
      </w:r>
      <w:r>
        <w:t>Acreditación de puntos por consumo en comercios afiliados o mérito escolar.</w:t>
      </w:r>
    </w:p>
    <w:p>
      <w:pPr>
        <w:pStyle w:val="ListBullet"/>
      </w:pPr>
      <w:r>
        <w:rPr>
          <w:b/>
        </w:rPr>
        <w:t xml:space="preserve">redeem: </w:t>
      </w:r>
      <w:r>
        <w:t>Débito temporal o definitivo al solicitar una recompensa del catálogo universitario.</w:t>
      </w:r>
    </w:p>
    <w:p>
      <w:pPr>
        <w:pStyle w:val="ListBullet"/>
      </w:pPr>
      <w:r>
        <w:rPr>
          <w:b/>
        </w:rPr>
        <w:t xml:space="preserve">reverse: </w:t>
      </w:r>
      <w:r>
        <w:t>Reversión contable automática originada por devoluciones comerciales o cancelaciones.</w:t>
      </w:r>
    </w:p>
    <w:p>
      <w:pPr>
        <w:pStyle w:val="ListBullet"/>
      </w:pPr>
      <w:r>
        <w:rPr>
          <w:b/>
        </w:rPr>
        <w:t xml:space="preserve">adjusted: </w:t>
      </w:r>
      <w:r>
        <w:t>Ajuste manual extraordinario autorizado por administradores con doble factor y motivo justificado.</w:t>
      </w:r>
    </w:p>
    <w:p>
      <w:pPr>
        <w:pStyle w:val="ListBullet"/>
      </w:pPr>
      <w:r>
        <w:rPr>
          <w:b/>
        </w:rPr>
        <w:t xml:space="preserve">expired: </w:t>
      </w:r>
      <w:r>
        <w:t>Caducidad programada de puntos acumulados por término de ciclo escolar.</w:t>
      </w:r>
    </w:p>
    <w:p>
      <w:r>
        <w:t>Idempotencia e Integridad: Toda solicitud requiere un identificador único (idempotency_key). Ante fallos de conexión o reintentos de red, el sistema retorna la transacción ya procesada sin alterar los balances. Además, el endpoint /api/v1/points/reconcile/{studentId} realiza una auditoría matemática en tiempo real, sumando todas las transacciones históricas del ledger para corregir automáticamente cualquier desvío de balance.</w:t>
      </w:r>
    </w:p>
    <w:p>
      <w:pPr>
        <w:keepNext/>
        <w:spacing w:before="240" w:after="80"/>
      </w:pPr>
      <w:r>
        <w:rPr>
          <w:b/>
          <w:color w:val="2563EB"/>
          <w:sz w:val="26"/>
        </w:rPr>
        <w:t>3.2 Seguridad, Autenticación y Autorización (RBAC)</w:t>
      </w:r>
    </w:p>
    <w:p>
      <w:r>
        <w:t>El sistema implementa el modelo PersonalAccessToken adaptado a MongoDB (DocumentModel). La autorización se rige por roles institucionales y permisos atómicos:</w:t>
      </w:r>
    </w:p>
    <w:p>
      <w:pPr>
        <w:pStyle w:val="ListBullet"/>
      </w:pPr>
      <w:r>
        <w:rPr>
          <w:b/>
        </w:rPr>
        <w:t xml:space="preserve">Estudiante (alumno@campus.edu): </w:t>
      </w:r>
      <w:r>
        <w:t>Consulta de balance en vivo, catálogo de recompensas, canje interactivo y gestión de cupones.</w:t>
      </w:r>
    </w:p>
    <w:p>
      <w:pPr>
        <w:pStyle w:val="ListBullet"/>
      </w:pPr>
      <w:r>
        <w:rPr>
          <w:b/>
        </w:rPr>
        <w:t xml:space="preserve">Profesor (profesor@campus.edu): </w:t>
      </w:r>
      <w:r>
        <w:t>Terminal de validación y entrega física de recompensas en mostrador, propuesta de campañas académicas.</w:t>
      </w:r>
    </w:p>
    <w:p>
      <w:pPr>
        <w:pStyle w:val="ListBullet"/>
      </w:pPr>
      <w:r>
        <w:rPr>
          <w:b/>
        </w:rPr>
        <w:t xml:space="preserve">Administrador (admin@campus.edu): </w:t>
      </w:r>
      <w:r>
        <w:t>Gestión de recompensas, comercios aliados, reglas de acumulación, detección de fraude y auditoría.</w:t>
      </w:r>
    </w:p>
    <w:p>
      <w:pPr>
        <w:pStyle w:val="ListBullet"/>
      </w:pPr>
      <w:r>
        <w:rPr>
          <w:b/>
        </w:rPr>
        <w:t xml:space="preserve">Admin Plataforma (platform.admin@campus.edu): </w:t>
      </w:r>
      <w:r>
        <w:t>Gobierno de políticas del sistema, parámetros globales y observabilidad de webhooks.</w:t>
      </w:r>
    </w:p>
    <w:p>
      <w:pPr>
        <w:keepNext/>
        <w:spacing w:before="240" w:after="80"/>
      </w:pPr>
      <w:r>
        <w:rPr>
          <w:b/>
          <w:color w:val="2563EB"/>
          <w:sz w:val="26"/>
        </w:rPr>
        <w:t>3.3 Catálogo de Recompensas y Ciclo de Canje (Redemptions)</w:t>
      </w:r>
    </w:p>
    <w:p>
      <w:r>
        <w:t>Mecanismo de reserva y liquidación concurrente en dos fases para artículos físicos y digitales: 1) Fase de Reserva: Al canjear, se debitan puntos y el stock pasa a 'reserved_stock', generando un cupón con código alfanumérico único (ej. CANJE-A9X1K4). 2) Fase de Liquidación: El profesor valida el código presencialmente y el stock físico se descuenta definitivamente. 3) Si el alumno cancela antes de la entrega, los puntos y el stock reservado se reintegran de forma transparente.</w:t>
      </w:r>
    </w:p>
    <w:p>
      <w:pPr>
        <w:keepNext/>
        <w:spacing w:before="240" w:after="80"/>
      </w:pPr>
      <w:r>
        <w:rPr>
          <w:b/>
          <w:color w:val="2563EB"/>
          <w:sz w:val="26"/>
        </w:rPr>
        <w:t>3.4 Auditoría Forense y Antifraude</w:t>
      </w:r>
    </w:p>
    <w:p>
      <w:r>
        <w:t>Cada acción queda asentada en la colección 'audit_logs' registrando: actor_id, actor_role, acción, entidad afectada, dirección IP, User-Agent y estado completo 'before' y 'after'. El monitor de fraude detecta transacciones atípicas y las marca como 'FraudFlag' para revisión administrativa.</w:t>
      </w:r>
    </w:p>
    <w:p>
      <w:pPr>
        <w:keepNext/>
        <w:spacing w:before="240" w:after="80"/>
      </w:pPr>
      <w:r>
        <w:rPr>
          <w:b/>
          <w:color w:val="2563EB"/>
          <w:sz w:val="26"/>
        </w:rPr>
        <w:t>3.5 Frontend SPA con Vue 3 (13 Pantallas Adaptativas)</w:t>
      </w:r>
    </w:p>
    <w:p>
      <w:r>
        <w:t>El frontend en 'frontend_respaldo' cuenta con 13 interfaces completas: Dashboards personalizados por rol, Catálogo interactivo con modales de confirmación, Mis Canjes con códigos de entrega, Libro Mayor con reconciliación en vivo, Gestión de Recompensas, Comercios Aliados, Reglas de Acumulación, Monitor Antifraude y Registro Forense.</w:t>
      </w:r>
    </w:p>
    <w:p>
      <w:pPr>
        <w:keepNext/>
        <w:spacing w:before="360" w:after="120"/>
      </w:pPr>
      <w:r>
        <w:rPr>
          <w:b/>
          <w:color w:val="1E3A8A"/>
          <w:sz w:val="32"/>
        </w:rPr>
        <w:t>4. Estrategia y Preparación para Integraciones Inter-Equipos</w:t>
      </w:r>
    </w:p>
    <w:p>
      <w:r>
        <w:t>Uno de los puntos más relevantes del sistema es su capacidad de interoperabilidad con los demás equipos del ecosistema Campus Digital mediante contratos de API y webhooks estandarizados.</w:t>
      </w:r>
    </w:p>
    <w:p>
      <w:pPr>
        <w:keepNext/>
        <w:spacing w:before="240" w:after="80"/>
      </w:pPr>
      <w:r>
        <w:rPr>
          <w:b/>
          <w:color w:val="2563EB"/>
          <w:sz w:val="26"/>
        </w:rPr>
        <w:t>4.1 Integración Principal: Equipo 3 (Marketplace y Ventas)</w:t>
      </w:r>
    </w:p>
    <w:p>
      <w:r>
        <w:t>El Equipo 3 gestiona las compras realizadas en la cafetería, papelería y librería universitaria. Nuestra API expone un webhook seguro que procesa compras para acreditar puntos y devoluciones para descontarlos.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before="0" w:after="0"/>
            </w:pPr>
            <w:r>
              <w:rPr>
                <w:b/>
                <w:color w:val="1E3A8A"/>
              </w:rPr>
              <w:t xml:space="preserve">ESPECIFICACIÓN DEL CONTRATO DE INTEGRACIÓN: </w:t>
            </w:r>
            <w:r>
              <w:rPr>
                <w:color w:val="1F2937"/>
                <w:sz w:val="21"/>
              </w:rPr>
              <w:t>Endpoint: POST http://localhost:8000/api/v1/integrations/ingest-event</w:t>
              <w:br/>
              <w:t>Cabeceras Requeridas:</w:t>
              <w:br/>
              <w:t xml:space="preserve">  • Authorization: Bearer &lt;API_TOKEN_EQUIPO_3&gt;</w:t>
              <w:br/>
              <w:t xml:space="preserve">  • X-Campus-Signature: &lt;HMAC_SHA256_HEX(payload, SECRET_KEY)&gt;</w:t>
              <w:br/>
              <w:t xml:space="preserve">  • Content-Type: application/json</w:t>
            </w:r>
          </w:p>
        </w:tc>
      </w:tr>
    </w:tbl>
    <w:p/>
    <w:p>
      <w:r>
        <w:t>Ejemplo de Carga Útil — Compra Completada (marketplace.purchase_completed):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9"/>
              </w:rPr>
              <w:t>{</w:t>
              <w:br/>
            </w:r>
            <w:r>
              <w:rPr>
                <w:rFonts w:ascii="Consolas" w:hAnsi="Consolas"/>
                <w:color w:val="0F172A"/>
                <w:sz w:val="19"/>
              </w:rPr>
              <w:t xml:space="preserve">  "event_id": "evt_mp_20261014_982341",</w:t>
              <w:br/>
            </w:r>
            <w:r>
              <w:rPr>
                <w:rFonts w:ascii="Consolas" w:hAnsi="Consolas"/>
                <w:color w:val="0F172A"/>
                <w:sz w:val="19"/>
              </w:rPr>
              <w:t xml:space="preserve">  "event_type": "marketplace.purchase_completed",</w:t>
              <w:br/>
            </w:r>
            <w:r>
              <w:rPr>
                <w:rFonts w:ascii="Consolas" w:hAnsi="Consolas"/>
                <w:color w:val="0F172A"/>
                <w:sz w:val="19"/>
              </w:rPr>
              <w:t xml:space="preserve">  "occurred_at": "2026-10-14T18:30:00Z",</w:t>
              <w:br/>
            </w:r>
            <w:r>
              <w:rPr>
                <w:rFonts w:ascii="Consolas" w:hAnsi="Consolas"/>
                <w:color w:val="0F172A"/>
                <w:sz w:val="19"/>
              </w:rPr>
              <w:t xml:space="preserve">  "student_id": "std_100234",</w:t>
              <w:br/>
            </w:r>
            <w:r>
              <w:rPr>
                <w:rFonts w:ascii="Consolas" w:hAnsi="Consolas"/>
                <w:color w:val="0F172A"/>
                <w:sz w:val="19"/>
              </w:rPr>
              <w:t xml:space="preserve">  "payload": {</w:t>
              <w:br/>
            </w:r>
            <w:r>
              <w:rPr>
                <w:rFonts w:ascii="Consolas" w:hAnsi="Consolas"/>
                <w:color w:val="0F172A"/>
                <w:sz w:val="19"/>
              </w:rPr>
              <w:t xml:space="preserve">    "order_id": "ORD-2026-90412",</w:t>
              <w:br/>
            </w:r>
            <w:r>
              <w:rPr>
                <w:rFonts w:ascii="Consolas" w:hAnsi="Consolas"/>
                <w:color w:val="0F172A"/>
                <w:sz w:val="19"/>
              </w:rPr>
              <w:t xml:space="preserve">    "business_id": "biz-cafeteria-central",</w:t>
              <w:br/>
            </w:r>
            <w:r>
              <w:rPr>
                <w:rFonts w:ascii="Consolas" w:hAnsi="Consolas"/>
                <w:color w:val="0F172A"/>
                <w:sz w:val="19"/>
              </w:rPr>
              <w:t xml:space="preserve">    "total_amount": 250.00,</w:t>
              <w:br/>
            </w:r>
            <w:r>
              <w:rPr>
                <w:rFonts w:ascii="Consolas" w:hAnsi="Consolas"/>
                <w:color w:val="0F172A"/>
                <w:sz w:val="19"/>
              </w:rPr>
              <w:t xml:space="preserve">    "currency": "MXN",</w:t>
              <w:br/>
            </w:r>
            <w:r>
              <w:rPr>
                <w:rFonts w:ascii="Consolas" w:hAnsi="Consolas"/>
                <w:color w:val="0F172A"/>
                <w:sz w:val="19"/>
              </w:rPr>
              <w:t xml:space="preserve">    "items_count": 3,</w:t>
              <w:br/>
            </w:r>
            <w:r>
              <w:rPr>
                <w:rFonts w:ascii="Consolas" w:hAnsi="Consolas"/>
                <w:color w:val="0F172A"/>
                <w:sz w:val="19"/>
              </w:rPr>
              <w:t xml:space="preserve">    "points_to_award": 25</w:t>
              <w:br/>
            </w:r>
            <w:r>
              <w:rPr>
                <w:rFonts w:ascii="Consolas" w:hAnsi="Consolas"/>
                <w:color w:val="0F172A"/>
                <w:sz w:val="19"/>
              </w:rPr>
              <w:t xml:space="preserve">  }</w:t>
              <w:br/>
            </w:r>
            <w:r>
              <w:rPr>
                <w:rFonts w:ascii="Consolas" w:hAnsi="Consolas"/>
                <w:color w:val="0F172A"/>
                <w:sz w:val="19"/>
              </w:rPr>
              <w:t>}</w:t>
            </w:r>
          </w:p>
        </w:tc>
      </w:tr>
    </w:tbl>
    <w:p/>
    <w:p>
      <w:r>
        <w:t>Respuesta Exitosa (HTTP 200 OK):</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9"/>
              </w:rPr>
              <w:t>{</w:t>
              <w:br/>
            </w:r>
            <w:r>
              <w:rPr>
                <w:rFonts w:ascii="Consolas" w:hAnsi="Consolas"/>
                <w:color w:val="0F172A"/>
                <w:sz w:val="19"/>
              </w:rPr>
              <w:t xml:space="preserve">  "success": true,</w:t>
              <w:br/>
            </w:r>
            <w:r>
              <w:rPr>
                <w:rFonts w:ascii="Consolas" w:hAnsi="Consolas"/>
                <w:color w:val="0F172A"/>
                <w:sz w:val="19"/>
              </w:rPr>
              <w:t xml:space="preserve">  "status": "processed",</w:t>
              <w:br/>
            </w:r>
            <w:r>
              <w:rPr>
                <w:rFonts w:ascii="Consolas" w:hAnsi="Consolas"/>
                <w:color w:val="0F172A"/>
                <w:sz w:val="19"/>
              </w:rPr>
              <w:t xml:space="preserve">  "event_id": "evt_mp_20261014_982341",</w:t>
              <w:br/>
            </w:r>
            <w:r>
              <w:rPr>
                <w:rFonts w:ascii="Consolas" w:hAnsi="Consolas"/>
                <w:color w:val="0F172A"/>
                <w:sz w:val="19"/>
              </w:rPr>
              <w:t xml:space="preserve">  "transaction_id": "tx_670d8a12b9c34e0012f45a78",</w:t>
              <w:br/>
            </w:r>
            <w:r>
              <w:rPr>
                <w:rFonts w:ascii="Consolas" w:hAnsi="Consolas"/>
                <w:color w:val="0F172A"/>
                <w:sz w:val="19"/>
              </w:rPr>
              <w:t xml:space="preserve">  "points_credited": 25,</w:t>
              <w:br/>
            </w:r>
            <w:r>
              <w:rPr>
                <w:rFonts w:ascii="Consolas" w:hAnsi="Consolas"/>
                <w:color w:val="0F172A"/>
                <w:sz w:val="19"/>
              </w:rPr>
              <w:t xml:space="preserve">  "new_balance": 175</w:t>
              <w:br/>
            </w:r>
            <w:r>
              <w:rPr>
                <w:rFonts w:ascii="Consolas" w:hAnsi="Consolas"/>
                <w:color w:val="0F172A"/>
                <w:sz w:val="19"/>
              </w:rPr>
              <w:t>}</w:t>
            </w:r>
          </w:p>
        </w:tc>
      </w:tr>
    </w:tbl>
    <w:p/>
    <w:p>
      <w:r>
        <w:t>Ejemplo de Carga Útil — Devolución o Reembolso (marketplace.refund_issued):</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9"/>
              </w:rPr>
              <w:t>{</w:t>
              <w:br/>
            </w:r>
            <w:r>
              <w:rPr>
                <w:rFonts w:ascii="Consolas" w:hAnsi="Consolas"/>
                <w:color w:val="0F172A"/>
                <w:sz w:val="19"/>
              </w:rPr>
              <w:t xml:space="preserve">  "event_id": "evt_mp_20261014_982342",</w:t>
              <w:br/>
            </w:r>
            <w:r>
              <w:rPr>
                <w:rFonts w:ascii="Consolas" w:hAnsi="Consolas"/>
                <w:color w:val="0F172A"/>
                <w:sz w:val="19"/>
              </w:rPr>
              <w:t xml:space="preserve">  "event_type": "marketplace.refund_issued",</w:t>
              <w:br/>
            </w:r>
            <w:r>
              <w:rPr>
                <w:rFonts w:ascii="Consolas" w:hAnsi="Consolas"/>
                <w:color w:val="0F172A"/>
                <w:sz w:val="19"/>
              </w:rPr>
              <w:t xml:space="preserve">  "occurred_at": "2026-10-14T19:00:00Z",</w:t>
              <w:br/>
            </w:r>
            <w:r>
              <w:rPr>
                <w:rFonts w:ascii="Consolas" w:hAnsi="Consolas"/>
                <w:color w:val="0F172A"/>
                <w:sz w:val="19"/>
              </w:rPr>
              <w:t xml:space="preserve">  "student_id": "std_100234",</w:t>
              <w:br/>
            </w:r>
            <w:r>
              <w:rPr>
                <w:rFonts w:ascii="Consolas" w:hAnsi="Consolas"/>
                <w:color w:val="0F172A"/>
                <w:sz w:val="19"/>
              </w:rPr>
              <w:t xml:space="preserve">  "payload": {</w:t>
              <w:br/>
            </w:r>
            <w:r>
              <w:rPr>
                <w:rFonts w:ascii="Consolas" w:hAnsi="Consolas"/>
                <w:color w:val="0F172A"/>
                <w:sz w:val="19"/>
              </w:rPr>
              <w:t xml:space="preserve">    "original_order_id": "ORD-2026-90412",</w:t>
              <w:br/>
            </w:r>
            <w:r>
              <w:rPr>
                <w:rFonts w:ascii="Consolas" w:hAnsi="Consolas"/>
                <w:color w:val="0F172A"/>
                <w:sz w:val="19"/>
              </w:rPr>
              <w:t xml:space="preserve">    "refund_amount": 250.00,</w:t>
              <w:br/>
            </w:r>
            <w:r>
              <w:rPr>
                <w:rFonts w:ascii="Consolas" w:hAnsi="Consolas"/>
                <w:color w:val="0F172A"/>
                <w:sz w:val="19"/>
              </w:rPr>
              <w:t xml:space="preserve">    "points_to_deduct": 25,</w:t>
              <w:br/>
            </w:r>
            <w:r>
              <w:rPr>
                <w:rFonts w:ascii="Consolas" w:hAnsi="Consolas"/>
                <w:color w:val="0F172A"/>
                <w:sz w:val="19"/>
              </w:rPr>
              <w:t xml:space="preserve">    "reason": "Devolución de artículo en mostrador"</w:t>
              <w:br/>
            </w:r>
            <w:r>
              <w:rPr>
                <w:rFonts w:ascii="Consolas" w:hAnsi="Consolas"/>
                <w:color w:val="0F172A"/>
                <w:sz w:val="19"/>
              </w:rPr>
              <w:t xml:space="preserve">  }</w:t>
              <w:br/>
            </w:r>
            <w:r>
              <w:rPr>
                <w:rFonts w:ascii="Consolas" w:hAnsi="Consolas"/>
                <w:color w:val="0F172A"/>
                <w:sz w:val="19"/>
              </w:rPr>
              <w:t>}</w:t>
            </w:r>
          </w:p>
        </w:tc>
      </w:tr>
    </w:tbl>
    <w:p/>
    <w:p>
      <w:pPr>
        <w:keepNext/>
        <w:spacing w:before="240" w:after="80"/>
      </w:pPr>
      <w:r>
        <w:rPr>
          <w:b/>
          <w:color w:val="2563EB"/>
          <w:sz w:val="26"/>
        </w:rPr>
        <w:t>4.2 Integración con Módulos Académicos y Escolares</w:t>
      </w:r>
    </w:p>
    <w:p>
      <w:r>
        <w:t>La plataforma está lista para recibir eventos escolares como 'academic.course_approved' o 'academic.merit_recognized'. Además, los profesores pueden proponer campañas de incentivos desde la pantalla ProfessorCampaigns.vue para que los administradores las activen de forma institucional.</w:t>
      </w:r>
    </w:p>
    <w:p>
      <w:pPr>
        <w:keepNext/>
        <w:spacing w:before="240" w:after="80"/>
      </w:pPr>
      <w:r>
        <w:rPr>
          <w:b/>
          <w:color w:val="2563EB"/>
          <w:sz w:val="26"/>
        </w:rPr>
        <w:t>4.3 Integración con Identidad y Notificaciones</w:t>
      </w:r>
    </w:p>
    <w:p>
      <w:r>
        <w:t>El sistema está homologado con identificadores universales de matrícula (student_id) y permite autenticación federada. Asimismo, emite eventos de dominio internos (PointEarnedEvent, RedemptionDeliveredEvent) listos para conectarse con motores de notificaciones por correo o notificaciones móviles push.</w:t>
      </w:r>
    </w:p>
    <w:p>
      <w:pPr>
        <w:keepNext/>
        <w:spacing w:before="360" w:after="120"/>
      </w:pPr>
      <w:r>
        <w:rPr>
          <w:b/>
          <w:color w:val="1E3A8A"/>
          <w:sz w:val="32"/>
        </w:rPr>
        <w:t>5. Métricas de Calidad y Pruebas Automatizadas</w:t>
      </w:r>
    </w:p>
    <w:p>
      <w:r>
        <w:t>Para garantizar confiabilidad ante el sínodo evaluador, se cuenta con una suite completa de pruebas ejecutables dentro del contenedor: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9"/>
              </w:rPr>
              <w:t>docker compose exec app php artisan test</w:t>
            </w:r>
          </w:p>
        </w:tc>
      </w:tr>
    </w:tbl>
    <w:p/>
    <w:tbl>
      <w:tblPr>
        <w:tblW w:type="auto" w:w="0"/>
        <w:jc w:val="center"/>
        <w:tblLayout w:type="fixed"/>
        <w:tblLook w:firstColumn="1" w:firstRow="1" w:lastColumn="0" w:lastRow="0" w:noHBand="0" w:noVBand="1" w:val="04A0"/>
      </w:tblPr>
      <w:tblGrid>
        <w:gridCol w:w="3600"/>
        <w:gridCol w:w="1728"/>
        <w:gridCol w:w="4032"/>
      </w:tblGrid>
      <w:tr>
        <w:tc>
          <w:tcPr>
            <w:tcW w:type="dxa" w:w="3120"/>
            <w:shd w:fill="1E3A8A"/>
            <w:tcMar>
              <w:top w:w="80" w:type="dxa"/>
              <w:bottom w:w="80" w:type="dxa"/>
              <w:left w:w="100" w:type="dxa"/>
              <w:right w:w="100" w:type="dxa"/>
            </w:tcMar>
          </w:tcPr>
          <w:p>
            <w:r>
              <w:rPr>
                <w:b/>
                <w:color w:val="FFFFFF"/>
                <w:sz w:val="20"/>
              </w:rPr>
              <w:t>Suite de Pruebas</w:t>
            </w:r>
          </w:p>
        </w:tc>
        <w:tc>
          <w:tcPr>
            <w:tcW w:type="dxa" w:w="3120"/>
            <w:shd w:fill="1E3A8A"/>
            <w:tcMar>
              <w:top w:w="80" w:type="dxa"/>
              <w:bottom w:w="80" w:type="dxa"/>
              <w:left w:w="100" w:type="dxa"/>
              <w:right w:w="100" w:type="dxa"/>
            </w:tcMar>
          </w:tcPr>
          <w:p>
            <w:r>
              <w:rPr>
                <w:b/>
                <w:color w:val="FFFFFF"/>
                <w:sz w:val="20"/>
              </w:rPr>
              <w:t>Pruebas</w:t>
            </w:r>
          </w:p>
        </w:tc>
        <w:tc>
          <w:tcPr>
            <w:tcW w:type="dxa" w:w="3120"/>
            <w:shd w:fill="1E3A8A"/>
            <w:tcMar>
              <w:top w:w="80" w:type="dxa"/>
              <w:bottom w:w="80" w:type="dxa"/>
              <w:left w:w="100" w:type="dxa"/>
              <w:right w:w="100" w:type="dxa"/>
            </w:tcMar>
          </w:tcPr>
          <w:p>
            <w:r>
              <w:rPr>
                <w:b/>
                <w:color w:val="FFFFFF"/>
                <w:sz w:val="20"/>
              </w:rPr>
              <w:t>Cobertura de Negocio</w:t>
            </w:r>
          </w:p>
        </w:tc>
      </w:tr>
      <w:tr>
        <w:tc>
          <w:tcPr>
            <w:tcW w:type="dxa" w:w="3120"/>
            <w:shd w:fill="F9FAFB"/>
            <w:tcMar>
              <w:top w:w="60" w:type="dxa"/>
              <w:bottom w:w="60" w:type="dxa"/>
              <w:left w:w="100" w:type="dxa"/>
              <w:right w:w="100" w:type="dxa"/>
            </w:tcMar>
          </w:tcPr>
          <w:p>
            <w:r>
              <w:rPr>
                <w:b/>
                <w:sz w:val="19"/>
              </w:rPr>
              <w:t>AuthApiTest</w:t>
            </w:r>
          </w:p>
        </w:tc>
        <w:tc>
          <w:tcPr>
            <w:tcW w:type="dxa" w:w="3120"/>
            <w:shd w:fill="F9FAFB"/>
            <w:tcMar>
              <w:top w:w="60" w:type="dxa"/>
              <w:bottom w:w="60" w:type="dxa"/>
              <w:left w:w="100" w:type="dxa"/>
              <w:right w:w="100" w:type="dxa"/>
            </w:tcMar>
          </w:tcPr>
          <w:p>
            <w:r>
              <w:rPr>
                <w:sz w:val="19"/>
              </w:rPr>
              <w:t>4 de 4</w:t>
            </w:r>
          </w:p>
        </w:tc>
        <w:tc>
          <w:tcPr>
            <w:tcW w:type="dxa" w:w="3120"/>
            <w:shd w:fill="F9FAFB"/>
            <w:tcMar>
              <w:top w:w="60" w:type="dxa"/>
              <w:bottom w:w="60" w:type="dxa"/>
              <w:left w:w="100" w:type="dxa"/>
              <w:right w:w="100" w:type="dxa"/>
            </w:tcMar>
          </w:tcPr>
          <w:p>
            <w:r>
              <w:rPr>
                <w:sz w:val="19"/>
              </w:rPr>
              <w:t>Login Sanctum, validación de contraseñas, perfil /me y revocación.</w:t>
            </w:r>
          </w:p>
        </w:tc>
      </w:tr>
      <w:tr>
        <w:tc>
          <w:tcPr>
            <w:tcW w:type="dxa" w:w="3120"/>
            <w:shd w:fill="FFFFFF"/>
            <w:tcMar>
              <w:top w:w="60" w:type="dxa"/>
              <w:bottom w:w="60" w:type="dxa"/>
              <w:left w:w="100" w:type="dxa"/>
              <w:right w:w="100" w:type="dxa"/>
            </w:tcMar>
          </w:tcPr>
          <w:p>
            <w:r>
              <w:rPr>
                <w:b/>
                <w:sz w:val="19"/>
              </w:rPr>
              <w:t>PermissionsAndRolesApiTest</w:t>
            </w:r>
          </w:p>
        </w:tc>
        <w:tc>
          <w:tcPr>
            <w:tcW w:type="dxa" w:w="3120"/>
            <w:shd w:fill="FFFFFF"/>
            <w:tcMar>
              <w:top w:w="60" w:type="dxa"/>
              <w:bottom w:w="60" w:type="dxa"/>
              <w:left w:w="100" w:type="dxa"/>
              <w:right w:w="100" w:type="dxa"/>
            </w:tcMar>
          </w:tcPr>
          <w:p>
            <w:r>
              <w:rPr>
                <w:sz w:val="19"/>
              </w:rPr>
              <w:t>4 de 4</w:t>
            </w:r>
          </w:p>
        </w:tc>
        <w:tc>
          <w:tcPr>
            <w:tcW w:type="dxa" w:w="3120"/>
            <w:shd w:fill="FFFFFF"/>
            <w:tcMar>
              <w:top w:w="60" w:type="dxa"/>
              <w:bottom w:w="60" w:type="dxa"/>
              <w:left w:w="100" w:type="dxa"/>
              <w:right w:w="100" w:type="dxa"/>
            </w:tcMar>
          </w:tcPr>
          <w:p>
            <w:r>
              <w:rPr>
                <w:sz w:val="19"/>
              </w:rPr>
              <w:t>Aislamiento de roles RBAC y protección 403 Forbidden.</w:t>
            </w:r>
          </w:p>
        </w:tc>
      </w:tr>
      <w:tr>
        <w:tc>
          <w:tcPr>
            <w:tcW w:type="dxa" w:w="3120"/>
            <w:shd w:fill="F9FAFB"/>
            <w:tcMar>
              <w:top w:w="60" w:type="dxa"/>
              <w:bottom w:w="60" w:type="dxa"/>
              <w:left w:w="100" w:type="dxa"/>
              <w:right w:w="100" w:type="dxa"/>
            </w:tcMar>
          </w:tcPr>
          <w:p>
            <w:r>
              <w:rPr>
                <w:b/>
                <w:sz w:val="19"/>
              </w:rPr>
              <w:t>RewardsAndRedemptionsApiTest</w:t>
            </w:r>
          </w:p>
        </w:tc>
        <w:tc>
          <w:tcPr>
            <w:tcW w:type="dxa" w:w="3120"/>
            <w:shd w:fill="F9FAFB"/>
            <w:tcMar>
              <w:top w:w="60" w:type="dxa"/>
              <w:bottom w:w="60" w:type="dxa"/>
              <w:left w:w="100" w:type="dxa"/>
              <w:right w:w="100" w:type="dxa"/>
            </w:tcMar>
          </w:tcPr>
          <w:p>
            <w:r>
              <w:rPr>
                <w:sz w:val="19"/>
              </w:rPr>
              <w:t>2 de 2</w:t>
            </w:r>
          </w:p>
        </w:tc>
        <w:tc>
          <w:tcPr>
            <w:tcW w:type="dxa" w:w="3120"/>
            <w:shd w:fill="F9FAFB"/>
            <w:tcMar>
              <w:top w:w="60" w:type="dxa"/>
              <w:bottom w:w="60" w:type="dxa"/>
              <w:left w:w="100" w:type="dxa"/>
              <w:right w:w="100" w:type="dxa"/>
            </w:tcMar>
          </w:tcPr>
          <w:p>
            <w:r>
              <w:rPr>
                <w:sz w:val="19"/>
              </w:rPr>
              <w:t>Ciclo de canje completo, reserva de stock y rechazo por saldo insuficiente.</w:t>
            </w:r>
          </w:p>
        </w:tc>
      </w:tr>
      <w:tr>
        <w:tc>
          <w:tcPr>
            <w:tcW w:type="dxa" w:w="3120"/>
            <w:shd w:fill="FFFFFF"/>
            <w:tcMar>
              <w:top w:w="60" w:type="dxa"/>
              <w:bottom w:w="60" w:type="dxa"/>
              <w:left w:w="100" w:type="dxa"/>
              <w:right w:w="100" w:type="dxa"/>
            </w:tcMar>
          </w:tcPr>
          <w:p>
            <w:r>
              <w:rPr>
                <w:b/>
                <w:sz w:val="19"/>
              </w:rPr>
              <w:t>PointsLedgerServiceTest</w:t>
            </w:r>
          </w:p>
        </w:tc>
        <w:tc>
          <w:tcPr>
            <w:tcW w:type="dxa" w:w="3120"/>
            <w:shd w:fill="FFFFFF"/>
            <w:tcMar>
              <w:top w:w="60" w:type="dxa"/>
              <w:bottom w:w="60" w:type="dxa"/>
              <w:left w:w="100" w:type="dxa"/>
              <w:right w:w="100" w:type="dxa"/>
            </w:tcMar>
          </w:tcPr>
          <w:p>
            <w:r>
              <w:rPr>
                <w:sz w:val="19"/>
              </w:rPr>
              <w:t>20 de 20</w:t>
            </w:r>
          </w:p>
        </w:tc>
        <w:tc>
          <w:tcPr>
            <w:tcW w:type="dxa" w:w="3120"/>
            <w:shd w:fill="FFFFFF"/>
            <w:tcMar>
              <w:top w:w="60" w:type="dxa"/>
              <w:bottom w:w="60" w:type="dxa"/>
              <w:left w:w="100" w:type="dxa"/>
              <w:right w:w="100" w:type="dxa"/>
            </w:tcMar>
          </w:tcPr>
          <w:p>
            <w:r>
              <w:rPr>
                <w:sz w:val="19"/>
              </w:rPr>
              <w:t>Idempotencia, límites diarios, transacciones ACID, reversiones y reconciliación.</w:t>
            </w:r>
          </w:p>
        </w:tc>
      </w:tr>
    </w:tbl>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2563EB"/>
              <w:top w:val="none"/>
              <w:right w:val="none"/>
              <w:bottom w:val="none"/>
            </w:tcBorders>
          </w:tcPr>
          <w:p>
            <w:pPr>
              <w:spacing w:before="0" w:after="0"/>
            </w:pPr>
            <w:r>
              <w:rPr>
                <w:b/>
                <w:color w:val="1E3A8A"/>
              </w:rPr>
              <w:t xml:space="preserve">CERTIFICACIÓN DE CALIDAD: </w:t>
            </w:r>
            <w:r>
              <w:rPr>
                <w:color w:val="1F2937"/>
                <w:sz w:val="21"/>
              </w:rPr>
              <w:t>Total de pruebas ejecutadas: 30 de 30 APROBADAS (81 aserciones). Duración: 37s. Compilación Frontend: 0 errores.</w:t>
            </w:r>
          </w:p>
        </w:tc>
      </w:tr>
    </w:tbl>
    <w:p/>
    <w:p>
      <w:pPr>
        <w:keepNext/>
        <w:spacing w:before="360" w:after="120"/>
      </w:pPr>
      <w:r>
        <w:rPr>
          <w:b/>
          <w:color w:val="1E3A8A"/>
          <w:sz w:val="32"/>
        </w:rPr>
        <w:t>6. Guión Recomendado para la Presentación (7 Diapositivas)</w:t>
      </w:r>
    </w:p>
    <w:p>
      <w:r>
        <w:t>Estructura sugerida para exponer ante el profesor y el grupo:</w:t>
      </w:r>
    </w:p>
    <w:p>
      <w:pPr>
        <w:pStyle w:val="ListBullet"/>
      </w:pPr>
      <w:r>
        <w:rPr>
          <w:b/>
        </w:rPr>
        <w:t xml:space="preserve">Slide 1 — Portada y Visión: </w:t>
      </w:r>
      <w:r>
        <w:t>Campus Digital — Programa de Recompensas y Puntos. Presentación del Equipo 7 y su propósito dentro del ecosistema universitario.</w:t>
      </w:r>
    </w:p>
    <w:p>
      <w:pPr>
        <w:pStyle w:val="ListBullet"/>
      </w:pPr>
      <w:r>
        <w:rPr>
          <w:b/>
        </w:rPr>
        <w:t xml:space="preserve">Slide 2 — El Reto y la Solución Arquitectónica: </w:t>
      </w:r>
      <w:r>
        <w:t>Explicar por qué una moneda digital requiere transacciones bancarias ACID y cómo Docker orquesta Nginx, PHP 8.3, MongoDB rs0 y Vue 3.</w:t>
      </w:r>
    </w:p>
    <w:p>
      <w:pPr>
        <w:pStyle w:val="ListBullet"/>
      </w:pPr>
      <w:r>
        <w:rPr>
          <w:b/>
        </w:rPr>
        <w:t xml:space="preserve">Slide 3 — El Motor Contable (Ledger Inmutable): </w:t>
      </w:r>
      <w:r>
        <w:t>Detallar la contabilidad de doble entrada, la idempotencia por UUID y la función de reconciliación en tiempo real.</w:t>
      </w:r>
    </w:p>
    <w:p>
      <w:pPr>
        <w:pStyle w:val="ListBullet"/>
      </w:pPr>
      <w:r>
        <w:rPr>
          <w:b/>
        </w:rPr>
        <w:t xml:space="preserve">Slide 4 — Seguridad y Gobierno Antifraude: </w:t>
      </w:r>
      <w:r>
        <w:t>Presentar el control de acceso de 4 roles, tokens NoSQL de Sanctum y el registro de auditoría forense con IP y snapshots.</w:t>
      </w:r>
    </w:p>
    <w:p>
      <w:pPr>
        <w:pStyle w:val="ListBullet"/>
      </w:pPr>
      <w:r>
        <w:rPr>
          <w:b/>
        </w:rPr>
        <w:t xml:space="preserve">Slide 5 — Preparación para Integraciones: </w:t>
      </w:r>
      <w:r>
        <w:t>Demostrar el contrato REST / Webhook con el Equipo 3 (Marketplace) mediante firmas HMAC-SHA256 y control de eventos.</w:t>
      </w:r>
    </w:p>
    <w:p>
      <w:pPr>
        <w:pStyle w:val="ListBullet"/>
      </w:pPr>
      <w:r>
        <w:rPr>
          <w:b/>
        </w:rPr>
        <w:t xml:space="preserve">Slide 6 — Demostración Práctica en Vivo: </w:t>
      </w:r>
      <w:r>
        <w:t>Ejecución del flujo real Alumno -&gt; Profesor -&gt; Administrador en el navegador web (ver sección 7).</w:t>
      </w:r>
    </w:p>
    <w:p>
      <w:pPr>
        <w:pStyle w:val="ListBullet"/>
      </w:pPr>
      <w:r>
        <w:rPr>
          <w:b/>
        </w:rPr>
        <w:t xml:space="preserve">Slide 7 — Conclusión y Calidad: </w:t>
      </w:r>
      <w:r>
        <w:t>Destacar el 100% de pruebas pasando, la robustez del código y la disponibilidad inmediata para puesta en producción.</w:t>
      </w:r>
    </w:p>
    <w:p>
      <w:pPr>
        <w:keepNext/>
        <w:spacing w:before="360" w:after="120"/>
      </w:pPr>
      <w:r>
        <w:rPr>
          <w:b/>
          <w:color w:val="1E3A8A"/>
          <w:sz w:val="32"/>
        </w:rPr>
        <w:t>7. Guía de Demostración en Vivo (Live Demo Script)</w:t>
      </w:r>
    </w:p>
    <w:p>
      <w:r>
        <w:t>Pasos ordenados para ejecutar en vivo durante la presentación y cautivar a la audiencia:</w:t>
      </w:r>
    </w:p>
    <w:p>
      <w:pPr>
        <w:pStyle w:val="ListBullet"/>
      </w:pPr>
      <w:r>
        <w:rPr>
          <w:b/>
        </w:rPr>
        <w:t xml:space="preserve">Paso 1: Abrir la Aplicación Web: </w:t>
      </w:r>
      <w:r>
        <w:t>Navegar a http://localhost:5173. Resaltar la interfaz moderna y reactiva y el selector de rol en la barra superior.</w:t>
      </w:r>
    </w:p>
    <w:p>
      <w:pPr>
        <w:pStyle w:val="ListBullet"/>
      </w:pPr>
      <w:r>
        <w:rPr>
          <w:b/>
        </w:rPr>
        <w:t xml:space="preserve">Paso 2: Experiencia del Alumno: </w:t>
      </w:r>
      <w:r>
        <w:t>Elegir rol 'Alumno' (alumno@campus.edu). Ir al Catálogo de Recompensas, seleccionar un artículo y canjearlo. Ir a 'Mis Canjes' y copiar el código generado (ej. CANJE-XXXXXX).</w:t>
      </w:r>
    </w:p>
    <w:p>
      <w:pPr>
        <w:pStyle w:val="ListBullet"/>
      </w:pPr>
      <w:r>
        <w:rPr>
          <w:b/>
        </w:rPr>
        <w:t xml:space="preserve">Paso 3: Validación del Docente: </w:t>
      </w:r>
      <w:r>
        <w:t>Cambiar en la barra superior al rol 'Profesor' (profesor@campus.edu). Entrar a 'Validar Canje', pegar el código y presionar 'Marcar como Entregado'. Explicar que el inventario se descontó atómicamente en MongoDB.</w:t>
      </w:r>
    </w:p>
    <w:p>
      <w:pPr>
        <w:pStyle w:val="ListBullet"/>
      </w:pPr>
      <w:r>
        <w:rPr>
          <w:b/>
        </w:rPr>
        <w:t xml:space="preserve">Paso 4: Auditoría del Administrador: </w:t>
      </w:r>
      <w:r>
        <w:t>Cambiar a rol 'Administrador' (admin@campus.edu). Ir a 'Libro Mayor (Ledger)' para ver el débito contable registrado, presionar 'Reconciliar Cuenta' y luego mostrar el registro forense en 'Auditoría'.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