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r>
        <w:br w:type="page"/>
      </w:r>
    </w:p>
    <w:p>
      <w:pPr>
        <w:pStyle w:val="Ttulo1"/>
      </w:pPr>
      <w:r>
        <w:t>1. Diagrama de paquetes y ADR-002</w:t>
      </w:r>
    </w:p>
    <w:p>
      <w:pPr>
        <w:pStyle w:val="Ttulo2"/>
      </w:pPr>
      <w:r>
        <w:t>1a. Diagrama de paquetes</w:t>
      </w:r>
    </w:p>
    <w:p>
      <w:r>
        <w:t xml:space="preserve">El diagrama se dibuja a mano en </w:t>
      </w:r>
      <w:r>
        <w:rPr>
          <w:rFonts w:ascii="Consolas" w:hAnsi="Consolas"/>
          <w:sz w:val="19"/>
        </w:rPr>
        <w:t>docs/02-arquitectura/diagramas/paquetes.html</w:t>
      </w:r>
      <w:r>
        <w:t xml:space="preserve"> y tiene dos láminas. La primera muestra el monorepo y la segunda los doce módulos de la API. El 30 de octubre lo comparamos con los imports reales del código: los doce módulos coincidían, pero solo estaba dibujada la dependencia de </w:t>
      </w:r>
      <w:r>
        <w:rPr>
          <w:rFonts w:ascii="Consolas" w:hAnsi="Consolas"/>
          <w:sz w:val="19"/>
        </w:rPr>
        <w:t>comprobantes</w:t>
      </w:r>
      <w:r>
        <w:t xml:space="preserve"> hacia </w:t>
      </w:r>
      <w:r>
        <w:rPr>
          <w:rFonts w:ascii="Consolas" w:hAnsi="Consolas"/>
          <w:sz w:val="19"/>
        </w:rPr>
        <w:t>almacenamiento</w:t>
      </w:r>
      <w:r>
        <w:t xml:space="preserve">. También dependen de </w:t>
      </w:r>
      <w:r>
        <w:rPr>
          <w:rFonts w:ascii="Consolas" w:hAnsi="Consolas"/>
          <w:sz w:val="19"/>
        </w:rPr>
        <w:t>almacenamiento</w:t>
      </w:r>
      <w:r>
        <w:t xml:space="preserve"> los módulos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xml:space="preserve">, y ahora el diagrama lo dice con una etiqueta, como ya hacía con </w:t>
      </w:r>
      <w:r>
        <w:rPr>
          <w:rFonts w:ascii="Consolas" w:hAnsi="Consolas"/>
          <w:sz w:val="19"/>
        </w:rPr>
        <w:t>identidad</w:t>
      </w:r>
      <w:r>
        <w:t xml:space="preserve"> y </w:t>
      </w:r>
      <w:r>
        <w:rPr>
          <w:rFonts w:ascii="Consolas" w:hAnsi="Consolas"/>
          <w:sz w:val="19"/>
        </w:rPr>
        <w:t>auditoria</w:t>
      </w:r>
      <w:r>
        <w:t>.</w:t>
      </w:r>
    </w:p>
    <w:p>
      <w:pPr>
        <w:keepNext/>
        <w:spacing w:after="40"/>
        <w:jc w:val="center"/>
      </w:pPr>
      <w:r>
        <w:drawing>
          <wp:inline xmlns:a="http://schemas.openxmlformats.org/drawingml/2006/main" xmlns:pic="http://schemas.openxmlformats.org/drawingml/2006/picture">
            <wp:extent cx="5831840" cy="2688705"/>
            <wp:docPr id="1" name="Picture 1"/>
            <wp:cNvGraphicFramePr>
              <a:graphicFrameLocks noChangeAspect="1"/>
            </wp:cNvGraphicFramePr>
            <a:graphic>
              <a:graphicData uri="http://schemas.openxmlformats.org/drawingml/2006/picture">
                <pic:pic>
                  <pic:nvPicPr>
                    <pic:cNvPr id="0" name="arquitectura-03-paquetes-del-monorepo.png"/>
                    <pic:cNvPicPr/>
                  </pic:nvPicPr>
                  <pic:blipFill>
                    <a:blip r:embed="rId27"/>
                    <a:stretch>
                      <a:fillRect/>
                    </a:stretch>
                  </pic:blipFill>
                  <pic:spPr>
                    <a:xfrm>
                      <a:off x="0" y="0"/>
                      <a:ext cx="5831840" cy="2688705"/>
                    </a:xfrm>
                    <a:prstGeom prst="rect"/>
                  </pic:spPr>
                </pic:pic>
              </a:graphicData>
            </a:graphic>
          </wp:inline>
        </w:drawing>
      </w:r>
    </w:p>
    <w:p>
      <w:pPr>
        <w:jc w:val="center"/>
      </w:pPr>
      <w:r>
        <w:rPr>
          <w:b/>
          <w:color w:val="57534E"/>
          <w:sz w:val="18"/>
        </w:rPr>
        <w:t xml:space="preserve">Figura 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831840" cy="5349009"/>
            <wp:docPr id="2" name="Picture 2"/>
            <wp:cNvGraphicFramePr>
              <a:graphicFrameLocks noChangeAspect="1"/>
            </wp:cNvGraphicFramePr>
            <a:graphic>
              <a:graphicData uri="http://schemas.openxmlformats.org/drawingml/2006/picture">
                <pic:pic>
                  <pic:nvPicPr>
                    <pic:cNvPr id="0" name="arquitectura-04-paquetes-de-la-api.png"/>
                    <pic:cNvPicPr/>
                  </pic:nvPicPr>
                  <pic:blipFill>
                    <a:blip r:embed="rId28"/>
                    <a:stretch>
                      <a:fillRect/>
                    </a:stretch>
                  </pic:blipFill>
                  <pic:spPr>
                    <a:xfrm>
                      <a:off x="0" y="0"/>
                      <a:ext cx="5831840" cy="5349009"/>
                    </a:xfrm>
                    <a:prstGeom prst="rect"/>
                  </pic:spPr>
                </pic:pic>
              </a:graphicData>
            </a:graphic>
          </wp:inline>
        </w:drawing>
      </w:r>
    </w:p>
    <w:p>
      <w:pPr>
        <w:jc w:val="center"/>
      </w:pPr>
      <w:r>
        <w:rPr>
          <w:b/>
          <w:color w:val="57534E"/>
          <w:sz w:val="18"/>
        </w:rPr>
        <w:t xml:space="preserve">Figura 2. </w:t>
      </w:r>
      <w:r>
        <w:rPr>
          <w:color w:val="57534E"/>
          <w:sz w:val="18"/>
        </w:rPr>
        <w:t>Paquetes de la API: los módulos de dominio arriba y los transversales abajo. Cada módulo importa solo a los de abajo.</w:t>
      </w:r>
    </w:p>
    <w:p>
      <w:pPr>
        <w:pStyle w:val="Ttulo2"/>
      </w:pPr>
      <w:r>
        <w:t>1b. ADR-002 · Organización del código en paquetes</w:t>
      </w:r>
    </w:p>
    <w:p>
      <w:r>
        <w:t xml:space="preserve">En el repositorio es el </w:t>
      </w:r>
      <w:r>
        <w:t>ADR-0023</w:t>
      </w:r>
      <w:r>
        <w:t>, porque el número 0002 ya era otra decisión y los números no se reutilizan. El ADR-001 del curso es el ADR-0008 del repositorio.</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cada una con módulos propios. La web y la API cambian juntas y usan las mismas fórmulas del motor. La bitácora se escribe en la misma transacción que cada cambio y el saldo sale de los movimientos, así que todo vive en una sola base.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xml:space="preserve">. La web solo habla con la API por HTTP y toma los tipos del contrato OpenAPI. En la API, un módulo por dominio, apilados en capas: </w:t>
            </w:r>
            <w:r>
              <w:rPr>
                <w:rFonts w:ascii="Consolas" w:hAnsi="Consolas"/>
                <w:sz w:val="13"/>
              </w:rPr>
              <w:t>importacion</w:t>
            </w:r>
            <w:r>
              <w:rPr>
                <w:sz w:val="16"/>
              </w:rPr>
              <w:t xml:space="preserve">; luego </w:t>
            </w:r>
            <w:r>
              <w:rPr>
                <w:rFonts w:ascii="Consolas" w:hAnsi="Consolas"/>
                <w:sz w:val="13"/>
              </w:rPr>
              <w:t>motor</w:t>
            </w:r>
            <w:r>
              <w:rPr>
                <w:sz w:val="16"/>
              </w:rPr>
              <w:t xml:space="preserve"> y </w:t>
            </w:r>
            <w:r>
              <w:rPr>
                <w:rFonts w:ascii="Consolas" w:hAnsi="Consolas"/>
                <w:sz w:val="13"/>
              </w:rPr>
              <w:t>turnos</w:t>
            </w:r>
            <w:r>
              <w:rPr>
                <w:sz w:val="16"/>
              </w:rPr>
              <w:t xml:space="preserve">; luego </w:t>
            </w:r>
            <w:r>
              <w:rPr>
                <w:rFonts w:ascii="Consolas" w:hAnsi="Consolas"/>
                <w:sz w:val="13"/>
              </w:rPr>
              <w:t>comprobantes</w:t>
            </w:r>
            <w:r>
              <w:rPr>
                <w:sz w:val="16"/>
              </w:rPr>
              <w:t xml:space="preserve"> e </w:t>
            </w:r>
            <w:r>
              <w:rPr>
                <w:rFonts w:ascii="Consolas" w:hAnsi="Consolas"/>
                <w:sz w:val="13"/>
              </w:rPr>
              <w:t>inventario</w:t>
            </w:r>
            <w:r>
              <w:rPr>
                <w:sz w:val="16"/>
              </w:rPr>
              <w:t xml:space="preserve">; luego </w:t>
            </w:r>
            <w:r>
              <w:rPr>
                <w:rFonts w:ascii="Consolas" w:hAnsi="Consolas"/>
                <w:sz w:val="13"/>
              </w:rPr>
              <w:t>acopios</w:t>
            </w:r>
            <w:r>
              <w:rPr>
                <w:sz w:val="16"/>
              </w:rPr>
              <w:t xml:space="preserve"> y </w:t>
            </w:r>
            <w:r>
              <w:rPr>
                <w:rFonts w:ascii="Consolas" w:hAnsi="Consolas"/>
                <w:sz w:val="13"/>
              </w:rPr>
              <w:t>catalogo</w:t>
            </w:r>
            <w:r>
              <w:rPr>
                <w:sz w:val="16"/>
              </w:rPr>
              <w:t>; y abajo los transversales (</w:t>
            </w: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r>
              <w:rPr>
                <w:sz w:val="16"/>
              </w:rPr>
              <w:t>). Cada módulo importa solo a los de abajo, y dependency-cruiser lo revisa en CI</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Cada módulo es un límite del dominio y casi siempre lo que una persona tiene asignado. La regla de dependencias la revisa una herramienta en cada PR. Las fórmulas se escriben una sola vez y la web muestra el mismo número que calcula la API. Por capas técnicas, las cuatro personas tocarían las mismas carpetas y nada impediría que el motor leyera tablas ajenas</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su impacto y cambiar la web y la API en el mismo PR. Limita las llamadas hacia arriba: cuando hacen falta, se resuelven con un puerto en </w:t>
            </w:r>
            <w:r>
              <w:rPr>
                <w:rFonts w:ascii="Consolas" w:hAnsi="Consolas"/>
                <w:sz w:val="13"/>
              </w:rPr>
              <w:t>comun/</w:t>
            </w:r>
            <w:r>
              <w:rPr>
                <w:sz w:val="16"/>
              </w:rPr>
              <w:t xml:space="preserve"> (</w:t>
            </w:r>
            <w:r>
              <w:rPr>
                <w:rFonts w:ascii="Consolas" w:hAnsi="Consolas"/>
                <w:sz w:val="13"/>
              </w:rPr>
              <w:t>VerificadorUbicaciones</w:t>
            </w:r>
            <w:r>
              <w:rPr>
                <w:sz w:val="16"/>
              </w:rPr>
              <w:t xml:space="preserve">, </w:t>
            </w:r>
            <w:r>
              <w:rPr>
                <w:rFonts w:ascii="Consolas" w:hAnsi="Consolas"/>
                <w:sz w:val="13"/>
              </w:rPr>
              <w:t>ProveedorIdentidad</w:t>
            </w:r>
            <w:r>
              <w:rPr>
                <w:sz w:val="16"/>
              </w:rPr>
              <w:t xml:space="preserve">). Todo corre en un proceso. Puede requerir ajustes: </w:t>
            </w:r>
            <w:r>
              <w:rPr>
                <w:rFonts w:ascii="Consolas" w:hAnsi="Consolas"/>
                <w:sz w:val="13"/>
              </w:rPr>
              <w:t>motor</w:t>
            </w:r>
            <w:r>
              <w:rPr>
                <w:sz w:val="16"/>
              </w:rPr>
              <w:t xml:space="preserve"> ya depende de siete módulos y convendría partirlo si sigue creciendo, y la cola de correo solo es segura con una instancia de la API</w:t>
            </w:r>
          </w:p>
        </w:tc>
      </w:tr>
    </w:tbl>
    <w:p>
      <w:pPr>
        <w:spacing w:after="40"/>
      </w:pPr>
    </w:p>
    <w:p>
      <w:pPr>
        <w:pStyle w:val="Ttulo1"/>
      </w:pPr>
      <w:r>
        <w:t>2. Diagrama de comportamiento: estados de la donación</w:t>
      </w:r>
    </w:p>
    <w:p>
      <w:pPr>
        <w:keepNext/>
        <w:spacing w:after="40"/>
        <w:jc w:val="center"/>
      </w:pPr>
      <w:r>
        <w:drawing>
          <wp:inline xmlns:a="http://schemas.openxmlformats.org/drawingml/2006/main" xmlns:pic="http://schemas.openxmlformats.org/drawingml/2006/picture">
            <wp:extent cx="5831840" cy="4524703"/>
            <wp:docPr id="3" name="Picture 3"/>
            <wp:cNvGraphicFramePr>
              <a:graphicFrameLocks noChangeAspect="1"/>
            </wp:cNvGraphicFramePr>
            <a:graphic>
              <a:graphicData uri="http://schemas.openxmlformats.org/drawingml/2006/picture">
                <pic:pic>
                  <pic:nvPicPr>
                    <pic:cNvPr id="0" name="comportamiento-01-ciclo-de-vida-de-la-donacion.png"/>
                    <pic:cNvPicPr/>
                  </pic:nvPicPr>
                  <pic:blipFill>
                    <a:blip r:embed="rId29"/>
                    <a:stretch>
                      <a:fillRect/>
                    </a:stretch>
                  </pic:blipFill>
                  <pic:spPr>
                    <a:xfrm>
                      <a:off x="0" y="0"/>
                      <a:ext cx="5831840" cy="4524703"/>
                    </a:xfrm>
                    <a:prstGeom prst="rect"/>
                  </pic:spPr>
                </pic:pic>
              </a:graphicData>
            </a:graphic>
          </wp:inline>
        </w:drawing>
      </w:r>
    </w:p>
    <w:p>
      <w:pPr>
        <w:jc w:val="center"/>
      </w:pPr>
      <w:r>
        <w:rPr>
          <w:b/>
          <w:color w:val="57534E"/>
          <w:sz w:val="18"/>
        </w:rPr>
        <w:t xml:space="preserve">Figura 3. </w:t>
      </w:r>
      <w:r>
        <w:rPr>
          <w:color w:val="57534E"/>
          <w:sz w:val="18"/>
        </w:rPr>
        <w:t>Ciclo de vida de una donación: PREPARADO, PENDIENTE, CONCILIADO, RECHAZADO y CANCELADO, con el evento, la guarda y el actor de cada transición.</w:t>
      </w:r>
    </w:p>
    <w:p>
      <w:r>
        <w:t xml:space="preserve">El diagrama sigue a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o la rechaza. Corresponde a la historia HU-006 («Comprobar que mi donación llegó») y a los requerimientos RF-CMP-001B (preparar), RF-CMP-001C (recibir), RF-CMP-004 (conciliar), RF-CMP-005 (rechazar) y RF-CMP-006 (seguimiento por folio). Las guardas son reglas de negocio que la API hace cumplir: un Donador tiene como máximo cinco donaciones preparadas, una preparada vence a los siete días, solo el Operador asignado al acopio la recibe y nadie concilia sin una entrada vinculada. Elegimos un diagrama de estados porque en la donación intervienen cuatro actores (Donador, Operador, Auditor y una tarea programada), y lo que cada uno puede hacer depende del estado en que la encuentra. En un diagrama de actividades esas reglas quedarían repartidas entre carriles, y costaría ver que un rechazo se puede revertir y una conciliación no.</w:t>
      </w:r>
    </w:p>
    <w:p>
      <w:r>
        <w:t xml:space="preserve">El modelo corresponde a lo implementado. Cada transición tiene un método del módulo </w:t>
      </w:r>
      <w:r>
        <w:rPr>
          <w:rFonts w:ascii="Consolas" w:hAnsi="Consolas"/>
          <w:sz w:val="19"/>
        </w:rPr>
        <w:t>comprobantes</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Transición</w:t>
            </w:r>
          </w:p>
        </w:tc>
        <w:tc>
          <w:tcPr>
            <w:tcW w:type="dxa" w:w="3061"/>
            <w:shd w:val="clear" w:color="auto" w:fill="0F6E6E"/>
          </w:tcPr>
          <w:p>
            <w:pPr>
              <w:spacing w:after="40"/>
              <w:jc w:val="left"/>
            </w:pPr>
            <w:r>
              <w:rPr>
                <w:b/>
                <w:color w:val="FFFFFF"/>
                <w:sz w:val="16"/>
              </w:rPr>
              <w:t>Quién</w:t>
            </w:r>
          </w:p>
        </w:tc>
        <w:tc>
          <w:tcPr>
            <w:tcW w:type="dxa" w:w="3061"/>
            <w:shd w:val="clear" w:color="auto" w:fill="0F6E6E"/>
          </w:tcPr>
          <w:p>
            <w:pPr>
              <w:spacing w:after="40"/>
              <w:jc w:val="left"/>
            </w:pPr>
            <w:r>
              <w:rPr>
                <w:b/>
                <w:color w:val="FFFFFF"/>
                <w:sz w:val="16"/>
              </w:rPr>
              <w:t>Método</w:t>
            </w:r>
          </w:p>
        </w:tc>
      </w:tr>
      <w:tr>
        <w:trPr>
          <w:cantSplit w:val="true"/>
        </w:trPr>
        <w:tc>
          <w:tcPr>
            <w:tcW w:type="dxa" w:w="3061"/>
          </w:tcPr>
          <w:p>
            <w:pPr>
              <w:spacing w:after="40"/>
              <w:jc w:val="left"/>
            </w:pPr>
            <w:r>
              <w:rPr>
                <w:sz w:val="16"/>
              </w:rPr>
              <w:t>inicio → PREPARADO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DonacionesService.crear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DonacionesService.cancelar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 xml:space="preserve">Tarea </w:t>
            </w:r>
            <w:r>
              <w:rPr>
                <w:rFonts w:ascii="Consolas" w:hAnsi="Consolas"/>
                <w:sz w:val="13"/>
              </w:rPr>
              <w:t>preparadas-vencidas</w:t>
            </w:r>
            <w:r>
              <w:rPr>
                <w:sz w:val="16"/>
              </w:rPr>
              <w:t>, 00:15 hora de Colombia</w:t>
            </w:r>
          </w:p>
        </w:tc>
        <w:tc>
          <w:tcPr>
            <w:tcW w:type="dxa" w:w="3061"/>
          </w:tcPr>
          <w:p>
            <w:pPr>
              <w:spacing w:after="40"/>
              <w:jc w:val="left"/>
            </w:pPr>
            <w:r>
              <w:rPr>
                <w:rFonts w:ascii="Consolas" w:hAnsi="Consolas"/>
                <w:sz w:val="13"/>
              </w:rPr>
              <w:t>TareasCustodiaService.cancelarVencidas</w:t>
            </w:r>
          </w:p>
        </w:tc>
      </w:tr>
      <w:tr>
        <w:trPr>
          <w:cantSplit w:val="true"/>
        </w:trPr>
        <w:tc>
          <w:tcPr>
            <w:tcW w:type="dxa" w:w="3061"/>
          </w:tcPr>
          <w:p>
            <w:pPr>
              <w:spacing w:after="40"/>
              <w:jc w:val="left"/>
            </w:pPr>
            <w:r>
              <w:rPr>
                <w:sz w:val="16"/>
              </w:rPr>
              <w:t>PREPARADO → PENDIENTE</w:t>
            </w:r>
          </w:p>
        </w:tc>
        <w:tc>
          <w:tcPr>
            <w:tcW w:type="dxa" w:w="3061"/>
          </w:tcPr>
          <w:p>
            <w:pPr>
              <w:spacing w:after="40"/>
              <w:jc w:val="left"/>
            </w:pPr>
            <w:r>
              <w:rPr>
                <w:sz w:val="16"/>
              </w:rPr>
              <w:t>Operador del acopio</w:t>
            </w:r>
          </w:p>
        </w:tc>
        <w:tc>
          <w:tcPr>
            <w:tcW w:type="dxa" w:w="3061"/>
          </w:tcPr>
          <w:p>
            <w:pPr>
              <w:spacing w:after="40"/>
              <w:jc w:val="left"/>
            </w:pPr>
            <w:r>
              <w:rPr>
                <w:rFonts w:ascii="Consolas" w:hAnsi="Consolas"/>
                <w:sz w:val="13"/>
              </w:rPr>
              <w:t>RecepcionService.recibir</w:t>
            </w:r>
          </w:p>
        </w:tc>
      </w:tr>
      <w:tr>
        <w:trPr>
          <w:cantSplit w:val="true"/>
        </w:trPr>
        <w:tc>
          <w:tcPr>
            <w:tcW w:type="dxa" w:w="3061"/>
          </w:tcPr>
          <w:p>
            <w:pPr>
              <w:spacing w:after="40"/>
              <w:jc w:val="left"/>
            </w:pPr>
            <w:r>
              <w:rPr>
                <w:sz w:val="16"/>
              </w:rPr>
              <w:t>PREPARADO o PENDIENTE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ConciliacionService.vincular</w:t>
            </w:r>
          </w:p>
        </w:tc>
      </w:tr>
      <w:tr>
        <w:trPr>
          <w:cantSplit w:val="true"/>
        </w:trPr>
        <w:tc>
          <w:tcPr>
            <w:tcW w:type="dxa" w:w="3061"/>
          </w:tcPr>
          <w:p>
            <w:pPr>
              <w:spacing w:after="40"/>
              <w:jc w:val="left"/>
            </w:pPr>
            <w:r>
              <w:rPr>
                <w:sz w:val="16"/>
              </w:rPr>
              <w:t>PENDIENTE → CONCILIADO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ConciliacionService.conciliar</w:t>
            </w:r>
          </w:p>
        </w:tc>
      </w:tr>
      <w:tr>
        <w:trPr>
          <w:cantSplit w:val="true"/>
        </w:trPr>
        <w:tc>
          <w:tcPr>
            <w:tcW w:type="dxa" w:w="3061"/>
          </w:tcPr>
          <w:p>
            <w:pPr>
              <w:spacing w:after="40"/>
              <w:jc w:val="left"/>
            </w:pPr>
            <w:r>
              <w:rPr>
                <w:sz w:val="16"/>
              </w:rPr>
              <w:t>PENDIENTE → RECHAZADO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ConciliacionService.rechazar</w:t>
            </w:r>
          </w:p>
        </w:tc>
      </w:tr>
      <w:tr>
        <w:trPr>
          <w:cantSplit w:val="true"/>
        </w:trPr>
        <w:tc>
          <w:tcPr>
            <w:tcW w:type="dxa" w:w="3061"/>
          </w:tcPr>
          <w:p>
            <w:pPr>
              <w:spacing w:after="40"/>
              <w:jc w:val="left"/>
            </w:pPr>
            <w:r>
              <w:rPr>
                <w:sz w:val="16"/>
              </w:rPr>
              <w:t>RECHAZADO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ConciliacionService.revertirRechazo</w:t>
            </w:r>
          </w:p>
        </w:tc>
      </w:tr>
    </w:tbl>
    <w:p>
      <w:pPr>
        <w:spacing w:after="40"/>
      </w:pPr>
    </w:p>
    <w:p>
      <w:r>
        <w:t xml:space="preserve">Cada cambio de estado exige el estado anterior en el mismo </w:t>
      </w:r>
      <w:r>
        <w:rPr>
          <w:rFonts w:ascii="Consolas" w:hAnsi="Consolas"/>
          <w:sz w:val="19"/>
        </w:rPr>
        <w:t>UPDATE</w:t>
      </w:r>
      <w:r>
        <w:t xml:space="preserve">. Si el Operador recibe un folio en el mismo instante en que la tarea diaria lo cancela, una de las dos operaciones ya no encuentra la fila en </w:t>
      </w:r>
      <w:r>
        <w:rPr>
          <w:rFonts w:ascii="Consolas" w:hAnsi="Consolas"/>
          <w:sz w:val="19"/>
        </w:rPr>
        <w:t>PREPARADO</w:t>
      </w:r>
      <w:r>
        <w:t xml:space="preserve"> y no cambia nada. La nota completa está en </w:t>
      </w:r>
      <w:r>
        <w:t>comportamiento.md</w:t>
      </w:r>
      <w:r>
        <w:t>.</w:t>
      </w:r>
    </w:p>
    <w:p>
      <w:pPr>
        <w:pStyle w:val="Ttulo1"/>
      </w:pPr>
      <w:r>
        <w:t>3. Bonificación: productor y consumidor con la cola de correo</w:t>
      </w:r>
    </w:p>
    <w:p>
      <w:pPr>
        <w:pStyle w:val="Ttulo2"/>
      </w:pPr>
      <w:r>
        <w:t>Problema que resuelve</w:t>
      </w:r>
    </w:p>
    <w:p>
      <w:r>
        <w:t>Varias operaciones mandan un correo: invitar a un usuario, restablecer una contraseña, confirmar la cuenta de un Donador, rechazar una donación y recordar un turno. Si el correo se enviara dentro de la petición, un servidor SMTP lento haría esperar a quien invita, y uno caído haría fallar la invitación aunque el usuario ya estuviera creado. Además, si la operación fallara después de enviar, el correo ya habría salido con un enlace que no sirve.</w:t>
      </w:r>
    </w:p>
    <w:p>
      <w:pPr>
        <w:pStyle w:val="Ttulo2"/>
      </w:pPr>
      <w:r>
        <w:t>Componentes y cómo se comunican</w:t>
      </w:r>
    </w:p>
    <w:p>
      <w:pPr>
        <w:pStyle w:val="Vineta"/>
      </w:pPr>
      <w:r>
        <w:t xml:space="preserve">•  </w:t>
      </w:r>
      <w:r>
        <w:t xml:space="preserve">Productores: </w:t>
      </w:r>
      <w:r>
        <w:rPr>
          <w:rFonts w:ascii="Consolas" w:hAnsi="Consolas"/>
          <w:sz w:val="19"/>
        </w:rPr>
        <w:t>UsuariosService</w:t>
      </w:r>
      <w:r>
        <w:t xml:space="preserve"> (invitaciones y restablecimientos), </w:t>
      </w:r>
      <w:r>
        <w:rPr>
          <w:rFonts w:ascii="Consolas" w:hAnsi="Consolas"/>
          <w:sz w:val="19"/>
        </w:rPr>
        <w:t>DonadorService</w:t>
      </w:r>
      <w:r>
        <w:t xml:space="preserve"> (confirmación de la cuenta), </w:t>
      </w:r>
      <w:r>
        <w:rPr>
          <w:rFonts w:ascii="Consolas" w:hAnsi="Consolas"/>
          <w:sz w:val="19"/>
        </w:rPr>
        <w:t>ConciliacionService</w:t>
      </w:r>
      <w:r>
        <w:t xml:space="preserve"> (rechazo de una donación) y los avisos de </w:t>
      </w:r>
      <w:r>
        <w:rPr>
          <w:rFonts w:ascii="Consolas" w:hAnsi="Consolas"/>
          <w:sz w:val="19"/>
        </w:rPr>
        <w:t>turnos</w:t>
      </w:r>
      <w:r>
        <w:t xml:space="preserve">. Cada uno llama a </w:t>
      </w:r>
      <w:r>
        <w:rPr>
          <w:rFonts w:ascii="Consolas" w:hAnsi="Consolas"/>
          <w:sz w:val="19"/>
        </w:rPr>
        <w:t>NotificacionService.encolar</w:t>
      </w:r>
      <w:r>
        <w:t xml:space="preserve"> dentro de la misma transacción que la operación. Si la operación se deshace, el correo tampoco queda en la cola.</w:t>
      </w:r>
    </w:p>
    <w:p>
      <w:pPr>
        <w:pStyle w:val="Vineta"/>
      </w:pPr>
      <w:r>
        <w:t xml:space="preserve">•  </w:t>
      </w:r>
      <w:r>
        <w:t xml:space="preserve">Cola: la tabla </w:t>
      </w:r>
      <w:r>
        <w:rPr>
          <w:rFonts w:ascii="Consolas" w:hAnsi="Consolas"/>
          <w:sz w:val="19"/>
        </w:rPr>
        <w:t>correo_saliente</w:t>
      </w:r>
      <w:r>
        <w:t xml:space="preserve">, con estado </w:t>
      </w:r>
      <w:r>
        <w:rPr>
          <w:rFonts w:ascii="Consolas" w:hAnsi="Consolas"/>
          <w:sz w:val="19"/>
        </w:rPr>
        <w:t>PENDIENTE</w:t>
      </w:r>
      <w:r>
        <w:t xml:space="preserve">, </w:t>
      </w:r>
      <w:r>
        <w:rPr>
          <w:rFonts w:ascii="Consolas" w:hAnsi="Consolas"/>
          <w:sz w:val="19"/>
        </w:rPr>
        <w:t>ENVIADO</w:t>
      </w:r>
      <w:r>
        <w:t xml:space="preserve"> o </w:t>
      </w:r>
      <w:r>
        <w:rPr>
          <w:rFonts w:ascii="Consolas" w:hAnsi="Consolas"/>
          <w:sz w:val="19"/>
        </w:rPr>
        <w:t>FALLIDO</w:t>
      </w:r>
      <w:r>
        <w:t xml:space="preserve">, el número de intentos, el último error y </w:t>
      </w:r>
      <w:r>
        <w:rPr>
          <w:rFonts w:ascii="Consolas" w:hAnsi="Consolas"/>
          <w:sz w:val="19"/>
        </w:rPr>
        <w:t>enviar_despues_de</w:t>
      </w:r>
      <w:r>
        <w:t>. Tiene un índice por estado y fecha, que es la consulta del consumidor.</w:t>
      </w:r>
    </w:p>
    <w:p>
      <w:pPr>
        <w:pStyle w:val="Vineta"/>
      </w:pPr>
      <w:r>
        <w:t xml:space="preserve">•  </w:t>
      </w:r>
      <w:r>
        <w:t xml:space="preserve">Consumidor: </w:t>
      </w:r>
      <w:r>
        <w:rPr>
          <w:rFonts w:ascii="Consolas" w:hAnsi="Consolas"/>
          <w:sz w:val="19"/>
        </w:rPr>
        <w:t>NotificacionService.procesarCola</w:t>
      </w:r>
      <w:r>
        <w:t xml:space="preserve">, una tarea </w:t>
      </w:r>
      <w:r>
        <w:rPr>
          <w:rFonts w:ascii="Consolas" w:hAnsi="Consolas"/>
          <w:sz w:val="19"/>
        </w:rPr>
        <w:t>@Cron</w:t>
      </w:r>
      <w:r>
        <w:t xml:space="preserve"> que corre cada minuto. Toma hasta 50 correos listos, del más viejo al más nuevo, y los envía por SMTP. Si uno falla, lo marca </w:t>
      </w:r>
      <w:r>
        <w:rPr>
          <w:rFonts w:ascii="Consolas" w:hAnsi="Consolas"/>
          <w:sz w:val="19"/>
        </w:rPr>
        <w:t>FALLIDO</w:t>
      </w:r>
      <w:r>
        <w:t xml:space="preserve"> y lo reprograma con espera exponencial (1, 2, 4, 8 minutos y hasta dos horas), hasta ocho intentos.</w:t>
      </w:r>
    </w:p>
    <w:p>
      <w:pPr>
        <w:pStyle w:val="Vineta"/>
      </w:pPr>
      <w:r>
        <w:t xml:space="preserve">•  </w:t>
      </w:r>
      <w:r>
        <w:t>Proveedor: Resend, por SMTP (</w:t>
      </w:r>
      <w:r>
        <w:rPr>
          <w:rFonts w:ascii="Consolas" w:hAnsi="Consolas"/>
          <w:sz w:val="19"/>
        </w:rPr>
        <w:t>smtp.resend.com</w:t>
      </w:r>
      <w:r>
        <w:t xml:space="preserve">, puerto 465 con TLS) y con el remitente </w:t>
      </w:r>
      <w:r>
        <w:rPr>
          <w:rFonts w:ascii="Consolas" w:hAnsi="Consolas"/>
          <w:sz w:val="19"/>
        </w:rPr>
        <w:t>no-reply@josephqaz.dev</w:t>
      </w:r>
      <w:r>
        <w:t>. La API no usa el SDK de Resend; cambiar de proveedor es cambiar variables de entorno.</w:t>
      </w:r>
    </w:p>
    <w:p>
      <w:r>
        <w:t>Productores y consumidor no se llaman entre sí. Solo comparten la tabla, así que la petición responde en cuanto la transacción confirma y el envío ocurre después, a su propio ritmo.</w:t>
      </w:r>
    </w:p>
    <w:p>
      <w:pPr>
        <w:pStyle w:val="Ttulo2"/>
      </w:pPr>
      <w:r>
        <w:t>Código y evidencia</w:t>
      </w:r>
    </w:p>
    <w:p>
      <w:pPr>
        <w:pStyle w:val="Vineta"/>
      </w:pPr>
      <w:r>
        <w:t xml:space="preserve">•  </w:t>
      </w:r>
      <w:r>
        <w:t xml:space="preserve">Productor: </w:t>
      </w:r>
      <w:r>
        <w:rPr>
          <w:rFonts w:ascii="Consolas" w:hAnsi="Consolas"/>
          <w:sz w:val="19"/>
        </w:rPr>
        <w:t>apps/api/src/modulos/notificaciones/notificacion.service.ts</w:t>
      </w:r>
      <w:r>
        <w:t xml:space="preserve">, método </w:t>
      </w:r>
      <w:r>
        <w:rPr>
          <w:rFonts w:ascii="Consolas" w:hAnsi="Consolas"/>
          <w:sz w:val="19"/>
        </w:rPr>
        <w:t>encolar</w:t>
      </w:r>
      <w:r>
        <w:t xml:space="preserve"> (línea 56). Un ejemplo de uso está en </w:t>
      </w:r>
      <w:r>
        <w:rPr>
          <w:rFonts w:ascii="Consolas" w:hAnsi="Consolas"/>
          <w:sz w:val="19"/>
        </w:rPr>
        <w:t>modulos/identidad/usuarios/usuarios.service.ts</w:t>
      </w:r>
      <w:r>
        <w:t>, línea 131.</w:t>
      </w:r>
    </w:p>
    <w:p>
      <w:pPr>
        <w:pStyle w:val="Vineta"/>
      </w:pPr>
      <w:r>
        <w:t xml:space="preserve">•  </w:t>
      </w:r>
      <w:r>
        <w:t xml:space="preserve">Consumidor: el mismo archivo, </w:t>
      </w:r>
      <w:r>
        <w:rPr>
          <w:rFonts w:ascii="Consolas" w:hAnsi="Consolas"/>
          <w:sz w:val="19"/>
        </w:rPr>
        <w:t>procesarCola</w:t>
      </w:r>
      <w:r>
        <w:t xml:space="preserve"> (líneas 62 a 79) y </w:t>
      </w:r>
      <w:r>
        <w:rPr>
          <w:rFonts w:ascii="Consolas" w:hAnsi="Consolas"/>
          <w:sz w:val="19"/>
        </w:rPr>
        <w:t>enviar</w:t>
      </w:r>
      <w:r>
        <w:t xml:space="preserve"> (líneas 81 a 114).</w:t>
      </w:r>
    </w:p>
    <w:p>
      <w:pPr>
        <w:pStyle w:val="Vineta"/>
      </w:pPr>
      <w:r>
        <w:t xml:space="preserve">•  </w:t>
      </w:r>
      <w:r>
        <w:t xml:space="preserve">Cola: </w:t>
      </w:r>
      <w:r>
        <w:rPr>
          <w:rFonts w:ascii="Consolas" w:hAnsi="Consolas"/>
          <w:sz w:val="19"/>
        </w:rPr>
        <w:t>apps/api/src/modulos/notificaciones/dao/correo-saliente.dao.ts</w:t>
      </w:r>
      <w:r>
        <w:t xml:space="preserve"> y el modelo </w:t>
      </w:r>
      <w:r>
        <w:rPr>
          <w:rFonts w:ascii="Consolas" w:hAnsi="Consolas"/>
          <w:sz w:val="19"/>
        </w:rPr>
        <w:t>CorreoSaliente</w:t>
      </w:r>
      <w:r>
        <w:t xml:space="preserve"> en </w:t>
      </w:r>
      <w:r>
        <w:rPr>
          <w:rFonts w:ascii="Consolas" w:hAnsi="Consolas"/>
          <w:sz w:val="19"/>
        </w:rPr>
        <w:t>prisma/schema.prisma</w:t>
      </w:r>
      <w:r>
        <w:t>.</w:t>
      </w:r>
    </w:p>
    <w:p>
      <w:pPr>
        <w:pStyle w:val="Vineta"/>
      </w:pPr>
      <w:r>
        <w:t xml:space="preserve">•  </w:t>
      </w:r>
      <w:r>
        <w:t>Pruebas de integración contra PostgreSQL (</w:t>
      </w:r>
      <w:r>
        <w:rPr>
          <w:rFonts w:ascii="Consolas" w:hAnsi="Consolas"/>
          <w:sz w:val="19"/>
        </w:rPr>
        <w:t>src/pruebas-integracion/notificaciones.int.test.ts</w:t>
      </w:r>
      <w:r>
        <w:t xml:space="preserve">): con el SMTP arriba el correo queda </w:t>
      </w:r>
      <w:r>
        <w:rPr>
          <w:rFonts w:ascii="Consolas" w:hAnsi="Consolas"/>
          <w:sz w:val="19"/>
        </w:rPr>
        <w:t>ENVIADO</w:t>
      </w:r>
      <w:r>
        <w:t xml:space="preserve">; con el SMTP caído queda </w:t>
      </w:r>
      <w:r>
        <w:rPr>
          <w:rFonts w:ascii="Consolas" w:hAnsi="Consolas"/>
          <w:sz w:val="19"/>
        </w:rPr>
        <w:t>FALLIDO</w:t>
      </w:r>
      <w:r>
        <w:t xml:space="preserve">, espera y sale solo cuando vuelve; después del máximo de intentos no se reintenta; y con </w:t>
      </w:r>
      <w:r>
        <w:rPr>
          <w:rFonts w:ascii="Consolas" w:hAnsi="Consolas"/>
          <w:sz w:val="19"/>
        </w:rPr>
        <w:t>CORREO_ACTIVO=false</w:t>
      </w:r>
      <w:r>
        <w:t xml:space="preserve"> no se encola nada.</w:t>
      </w:r>
    </w:p>
    <w:p>
      <w:pPr>
        <w:pStyle w:val="Vineta"/>
      </w:pPr>
      <w:r>
        <w:t xml:space="preserve">•  </w:t>
      </w:r>
      <w:r>
        <w:t xml:space="preserve">En vivo: se invita a un usuario desde la consola, la petición responde de inmediato y el correo llega desde </w:t>
      </w:r>
      <w:r>
        <w:rPr>
          <w:rFonts w:ascii="Consolas" w:hAnsi="Consolas"/>
          <w:sz w:val="19"/>
        </w:rPr>
        <w:t>no-reply@josephqaz.dev</w:t>
      </w:r>
      <w:r>
        <w:t xml:space="preserve"> en menos de un minuto.</w:t>
      </w:r>
    </w:p>
    <w:tbl>
      <w:tblPr>
        <w:tblStyle w:val="Tablaconcuadrcula"/>
        <w:tblW w:type="auto" w:w="0"/>
        <w:jc w:val="center"/>
        <w:tblLook w:firstColumn="1" w:firstRow="1" w:lastColumn="0" w:lastRow="0" w:noHBand="0" w:noVBand="1" w:val="04A0"/>
      </w:tblPr>
      <w:tblGrid>
        <w:gridCol w:w="9184"/>
      </w:tblGrid>
      <w:tr>
        <w:tc>
          <w:tcPr>
            <w:tcW w:type="dxa" w:w="9184"/>
            <w:shd w:val="clear" w:color="auto" w:fill="FFF4E5"/>
          </w:tcPr>
          <w:p>
            <w:pPr>
              <w:jc w:val="center"/>
            </w:pPr>
            <w:r>
              <w:rPr>
                <w:b/>
                <w:sz w:val="18"/>
              </w:rPr>
              <w:t xml:space="preserve">Pendiente: la captura del panel de Resend con el correo entregado y la de la fila de </w:t>
            </w:r>
            <w:r>
              <w:rPr>
                <w:rFonts w:ascii="Consolas" w:hAnsi="Consolas"/>
                <w:b/>
                <w:sz w:val="15"/>
              </w:rPr>
              <w:t>correo_saliente</w:t>
            </w:r>
            <w:r>
              <w:rPr>
                <w:b/>
                <w:sz w:val="18"/>
              </w:rPr>
              <w:t xml:space="preserve"> en </w:t>
            </w:r>
            <w:r>
              <w:rPr>
                <w:rFonts w:ascii="Consolas" w:hAnsi="Consolas"/>
                <w:b/>
                <w:sz w:val="15"/>
              </w:rPr>
              <w:t>ENVIADO</w:t>
            </w:r>
            <w:r>
              <w:rPr>
                <w:b/>
                <w:sz w:val="18"/>
              </w:rPr>
              <w:t>. Se toman el 30 de octubre, con la API key de Resend puesta en el servidor.</w:t>
            </w:r>
          </w:p>
        </w:tc>
      </w:tr>
    </w:tbl>
    <w:p>
      <w:pPr>
        <w:spacing w:after="40"/>
      </w:pPr>
    </w:p>
    <w:p>
      <w:pPr>
        <w:pStyle w:val="Ttulo2"/>
      </w:pPr>
      <w:r>
        <w:t>Limitaciones y fallos considerados</w:t>
      </w:r>
    </w:p>
    <w:p>
      <w:pPr>
        <w:pStyle w:val="Vineta"/>
      </w:pPr>
      <w:r>
        <w:t xml:space="preserve">•  </w:t>
      </w:r>
      <w:r>
        <w:t>SMTP caído o lento: es el caso que la cola resuelve. La operación no se entera y el correo se reintenta solo. Lo cubre una prueba de integración.</w:t>
      </w:r>
    </w:p>
    <w:p>
      <w:pPr>
        <w:pStyle w:val="Vineta"/>
      </w:pPr>
      <w:r>
        <w:t xml:space="preserve">•  </w:t>
      </w:r>
      <w:r>
        <w:t xml:space="preserve">Dos consumidores a la vez: la bandera </w:t>
      </w:r>
      <w:r>
        <w:rPr>
          <w:rFonts w:ascii="Consolas" w:hAnsi="Consolas"/>
          <w:sz w:val="19"/>
        </w:rPr>
        <w:t>procesando</w:t>
      </w:r>
      <w:r>
        <w:t xml:space="preserve"> evita que un lote empiece antes de que termine el anterior, pero solo dentro de una instancia de la API. Con dos instancias, las dos leerían las mismas filas y el correo saldría dos veces. Hoy corre una sola instancia. El arreglo es reclamar el lote con </w:t>
      </w:r>
      <w:r>
        <w:rPr>
          <w:rFonts w:ascii="Consolas" w:hAnsi="Consolas"/>
          <w:sz w:val="19"/>
        </w:rPr>
        <w:t>SELECT … FOR UPDATE SKIP LOCKED</w:t>
      </w:r>
      <w:r>
        <w:t xml:space="preserve"> y quedó anotado como </w:t>
      </w:r>
      <w:r>
        <w:t>P-089</w:t>
      </w:r>
      <w:r>
        <w:t>.</w:t>
      </w:r>
    </w:p>
    <w:p>
      <w:pPr>
        <w:pStyle w:val="Vineta"/>
      </w:pPr>
      <w:r>
        <w:t xml:space="preserve">•  </w:t>
      </w:r>
      <w:r>
        <w:t xml:space="preserve">Caída entre enviar y marcar: si la API se cae después de que Resend acepta el correo y antes de marcarlo </w:t>
      </w:r>
      <w:r>
        <w:rPr>
          <w:rFonts w:ascii="Consolas" w:hAnsi="Consolas"/>
          <w:sz w:val="19"/>
        </w:rPr>
        <w:t>ENVIADO</w:t>
      </w:r>
      <w:r>
        <w:t>,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footerReference w:type="default" r:id="rId8"/>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Complemento de la sustentación del segundo corte</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