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Complemento documental para la sustentación del segundo corte</w:t>
      </w:r>
    </w:p>
    <w:p>
      <w:pPr>
        <w:pStyle w:val="Metadatos"/>
      </w:pPr>
      <w:r>
        <w:rPr>
          <w:b/>
        </w:rPr>
        <w:t xml:space="preserve">Asignatura: </w:t>
      </w:r>
      <w:r>
        <w:t>Ingeniería de Software I</w:t>
      </w:r>
    </w:p>
    <w:p>
      <w:pPr>
        <w:pStyle w:val="Metadatos"/>
      </w:pPr>
      <w:r>
        <w:rPr>
          <w:b/>
        </w:rPr>
        <w:t xml:space="preserve">Docente: </w:t>
      </w:r>
      <w:r>
        <w:t>Juan Pablo Bustamante Moreno</w:t>
      </w:r>
    </w:p>
    <w:p>
      <w:pPr>
        <w:pStyle w:val="Metadatos"/>
      </w:pPr>
      <w:r>
        <w:rPr>
          <w:b/>
        </w:rPr>
        <w:t xml:space="preserve">Institución: </w:t>
      </w:r>
      <w:r>
        <w:t>Escuela Tecnológica Instituto Técnico Central (ETITC)</w:t>
      </w:r>
    </w:p>
    <w:p>
      <w:pPr>
        <w:pStyle w:val="Metadatos"/>
      </w:pPr>
      <w:r>
        <w:rPr>
          <w:b/>
        </w:rPr>
        <w:t xml:space="preserve">Integrantes: </w:t>
      </w:r>
      <w:r>
        <w:t>Joseph · Brayan · Alejandra · Michael</w:t>
      </w:r>
    </w:p>
    <w:p>
      <w:pPr>
        <w:pStyle w:val="Metadatos"/>
      </w:pPr>
      <w:r>
        <w:rPr>
          <w:b/>
        </w:rPr>
        <w:t xml:space="preserve">Sustentación: </w:t>
      </w:r>
      <w:r>
        <w:t>30 de octubre de 2026</w:t>
      </w:r>
    </w:p>
    <w:p>
      <w:pPr>
        <w:pStyle w:val="Metadatos"/>
      </w:pPr>
      <w:r>
        <w:rPr>
          <w:b/>
        </w:rPr>
        <w:t xml:space="preserve">Repositorio: </w:t>
      </w:r>
      <w:r>
        <w:t>https://github.com/Proyecto-IngSoftware/acopio</w:t>
      </w:r>
    </w:p>
    <w:p>
      <w:r>
        <w:br w:type="page"/>
      </w:r>
    </w:p>
    <w:p>
      <w:pPr>
        <w:pStyle w:val="Ttulo1"/>
      </w:pPr>
      <w:r>
        <w:t>1. Diagrama de paquetes y ADR-002</w:t>
      </w:r>
    </w:p>
    <w:p>
      <w:pPr>
        <w:pStyle w:val="Ttulo2"/>
      </w:pPr>
      <w:r>
        <w:t>1a. Qué muestra el diagrama de paquetes</w:t>
      </w:r>
    </w:p>
    <w:p>
      <w:r>
        <w:t>El diagrama tiene dos láminas. La primera muestra el repositorio completo: la web, la API, el código compartido, los colores, el esquema de la base y la infraestructura. La segunda entra en la API y muestra sus doce módulos. Cada caja es una carpeta real del repositorio y lleva su ruta. Adentro aparecen las clases que más pesan en ese paquete, con su nombre en el código y su estereotipo («servicio», «controlador», «interfaz», «dao»).</w:t>
      </w:r>
    </w:p>
    <w:p>
      <w:pPr>
        <w:sectPr>
          <w:footerReference w:type="default" r:id="rId8"/>
          <w:pgSz w:w="11906" w:h="16838"/>
          <w:pgMar w:top="1247" w:right="1361" w:bottom="1134" w:left="1361"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8963660" cy="4132596"/>
            <wp:docPr id="1" name="Picture 1"/>
            <wp:cNvGraphicFramePr>
              <a:graphicFrameLocks noChangeAspect="1"/>
            </wp:cNvGraphicFramePr>
            <a:graphic>
              <a:graphicData uri="http://schemas.openxmlformats.org/drawingml/2006/picture">
                <pic:pic>
                  <pic:nvPicPr>
                    <pic:cNvPr id="0" name="arquitectura-03-paquetes-del-monorepo.png"/>
                    <pic:cNvPicPr/>
                  </pic:nvPicPr>
                  <pic:blipFill>
                    <a:blip r:embed="rId27"/>
                    <a:stretch>
                      <a:fillRect/>
                    </a:stretch>
                  </pic:blipFill>
                  <pic:spPr>
                    <a:xfrm>
                      <a:off x="0" y="0"/>
                      <a:ext cx="8963660" cy="4132596"/>
                    </a:xfrm>
                    <a:prstGeom prst="rect"/>
                  </pic:spPr>
                </pic:pic>
              </a:graphicData>
            </a:graphic>
          </wp:inline>
        </w:drawing>
      </w:r>
    </w:p>
    <w:p>
      <w:pPr>
        <w:jc w:val="center"/>
      </w:pPr>
      <w:r>
        <w:rPr>
          <w:b/>
          <w:color w:val="57534E"/>
          <w:sz w:val="18"/>
        </w:rPr>
        <w:t xml:space="preserve">Figura 1. </w:t>
      </w:r>
      <w:r>
        <w:rPr>
          <w:color w:val="57534E"/>
          <w:sz w:val="18"/>
        </w:rPr>
        <w:t>Paquetes del monorepo: la web y la API no comparten código salvo packages/shared; se comunican por HTTP y por el contrato OpenAPI.</w:t>
      </w:r>
    </w:p>
    <w:p>
      <w:pPr>
        <w:sectPr>
          <w:pgSz w:w="16838" w:h="11906" w:orient="landscape"/>
          <w:pgMar w:top="1247" w:right="1361" w:bottom="1134" w:left="1361" w:header="720" w:footer="720" w:gutter="0"/>
          <w:cols w:space="720"/>
          <w:docGrid w:linePitch="360"/>
        </w:sectPr>
      </w:pPr>
    </w:p>
    <w:p>
      <w:r>
        <w:t xml:space="preserve">En la primera lámina, la flecha continua significa «importa código de» y la punteada «genera, exporta o llama por HTTP». La web nunca importa código de la API: le habla por HTTP en </w:t>
      </w:r>
      <w:r>
        <w:rPr>
          <w:rFonts w:ascii="Consolas" w:hAnsi="Consolas"/>
          <w:sz w:val="19"/>
        </w:rPr>
        <w:t>/api</w:t>
      </w:r>
      <w:r>
        <w:t xml:space="preserve"> y toma los tipos del contrato </w:t>
      </w:r>
      <w:r>
        <w:rPr>
          <w:rFonts w:ascii="Consolas" w:hAnsi="Consolas"/>
          <w:sz w:val="19"/>
        </w:rPr>
        <w:t>openapi.json</w:t>
      </w:r>
      <w:r>
        <w:t xml:space="preserve">, que la API exporta. Lo único que comparten es </w:t>
      </w:r>
      <w:r>
        <w:rPr>
          <w:rFonts w:ascii="Consolas" w:hAnsi="Consolas"/>
          <w:sz w:val="19"/>
        </w:rPr>
        <w:t>packages/shared</w:t>
      </w:r>
      <w:r>
        <w:t>, donde viven las fórmulas del motor y las unidades, para que la web muestre el mismo número que calcula la API.</w:t>
      </w:r>
    </w:p>
    <w:p>
      <w:pPr>
        <w:keepNext/>
        <w:spacing w:after="40"/>
        <w:jc w:val="center"/>
      </w:pPr>
      <w:r>
        <w:drawing>
          <wp:inline xmlns:a="http://schemas.openxmlformats.org/drawingml/2006/main" xmlns:pic="http://schemas.openxmlformats.org/drawingml/2006/picture">
            <wp:extent cx="5831840" cy="4586894"/>
            <wp:docPr id="2" name="Picture 2"/>
            <wp:cNvGraphicFramePr>
              <a:graphicFrameLocks noChangeAspect="1"/>
            </wp:cNvGraphicFramePr>
            <a:graphic>
              <a:graphicData uri="http://schemas.openxmlformats.org/drawingml/2006/picture">
                <pic:pic>
                  <pic:nvPicPr>
                    <pic:cNvPr id="0" name="arquitectura-04-paquetes-de-la-api.png"/>
                    <pic:cNvPicPr/>
                  </pic:nvPicPr>
                  <pic:blipFill>
                    <a:blip r:embed="rId28"/>
                    <a:stretch>
                      <a:fillRect/>
                    </a:stretch>
                  </pic:blipFill>
                  <pic:spPr>
                    <a:xfrm>
                      <a:off x="0" y="0"/>
                      <a:ext cx="5831840" cy="4586894"/>
                    </a:xfrm>
                    <a:prstGeom prst="rect"/>
                  </pic:spPr>
                </pic:pic>
              </a:graphicData>
            </a:graphic>
          </wp:inline>
        </w:drawing>
      </w:r>
    </w:p>
    <w:p>
      <w:pPr>
        <w:jc w:val="center"/>
      </w:pPr>
      <w:r>
        <w:rPr>
          <w:b/>
          <w:color w:val="57534E"/>
          <w:sz w:val="18"/>
        </w:rPr>
        <w:t xml:space="preserve">Figura 2. </w:t>
      </w:r>
      <w:r>
        <w:rPr>
          <w:color w:val="57534E"/>
          <w:sz w:val="18"/>
        </w:rPr>
        <w:t>Paquetes de la API en cinco capas: integración, procesos, registro, red y catálogo, y transversales. Las dependencias bajan o van de lado, nunca suben.</w:t>
      </w:r>
    </w:p>
    <w:p>
      <w:r>
        <w:t xml:space="preserve">La segunda lámina se lee de arriba hacia abajo. El riel de la izquierda nombra las cinco capas y dice qué resuelve cada una. Cada flecha es un </w:t>
      </w:r>
      <w:r>
        <w:rPr>
          <w:rFonts w:ascii="Consolas" w:hAnsi="Consolas"/>
          <w:sz w:val="19"/>
        </w:rPr>
        <w:t>import</w:t>
      </w:r>
      <w:r>
        <w:t xml:space="preserve"> que existe en el código, y todas apuntan hacia abajo o hacia un módulo de la misma capa; ninguna sube. Los módulos que usan casi todos, </w:t>
      </w:r>
      <w:r>
        <w:rPr>
          <w:rFonts w:ascii="Consolas" w:hAnsi="Consolas"/>
          <w:sz w:val="19"/>
        </w:rPr>
        <w:t>identidad</w:t>
      </w:r>
      <w:r>
        <w:t xml:space="preserve"> (sesión y permisos) y </w:t>
      </w:r>
      <w:r>
        <w:rPr>
          <w:rFonts w:ascii="Consolas" w:hAnsi="Consolas"/>
          <w:sz w:val="19"/>
        </w:rPr>
        <w:t>auditoria</w:t>
      </w:r>
      <w:r>
        <w:t xml:space="preserve"> (bitácora), se marcan con una etiqueta y no con flechas, porque doce flechas más taparían el resto.</w:t>
      </w:r>
    </w:p>
    <w:tbl>
      <w:tblPr>
        <w:tblStyle w:val="Tablaconcuadrcula"/>
        <w:tblW w:type="auto" w:w="0"/>
        <w:jc w:val="center"/>
        <w:tblLook w:firstColumn="1" w:firstRow="1" w:lastColumn="0" w:lastRow="0" w:noHBand="0" w:noVBand="1" w:val="04A0"/>
      </w:tblPr>
      <w:tblGrid>
        <w:gridCol w:w="2296"/>
        <w:gridCol w:w="2296"/>
        <w:gridCol w:w="2296"/>
        <w:gridCol w:w="2296"/>
      </w:tblGrid>
      <w:tr>
        <w:trPr>
          <w:cantSplit w:val="true"/>
          <w:tblHeader w:val="true"/>
        </w:trPr>
        <w:tc>
          <w:tcPr>
            <w:tcW w:type="dxa" w:w="2296"/>
            <w:shd w:val="clear" w:color="auto" w:fill="0F6E6E"/>
          </w:tcPr>
          <w:p>
            <w:pPr>
              <w:spacing w:after="40"/>
              <w:jc w:val="left"/>
            </w:pPr>
            <w:r>
              <w:rPr>
                <w:b/>
                <w:color w:val="FFFFFF"/>
                <w:sz w:val="16"/>
              </w:rPr>
              <w:t>Capa</w:t>
            </w:r>
          </w:p>
        </w:tc>
        <w:tc>
          <w:tcPr>
            <w:tcW w:type="dxa" w:w="2296"/>
            <w:shd w:val="clear" w:color="auto" w:fill="0F6E6E"/>
          </w:tcPr>
          <w:p>
            <w:pPr>
              <w:spacing w:after="40"/>
              <w:jc w:val="left"/>
            </w:pPr>
            <w:r>
              <w:rPr>
                <w:b/>
                <w:color w:val="FFFFFF"/>
                <w:sz w:val="16"/>
              </w:rPr>
              <w:t>Módulos</w:t>
            </w:r>
          </w:p>
        </w:tc>
        <w:tc>
          <w:tcPr>
            <w:tcW w:type="dxa" w:w="2296"/>
            <w:shd w:val="clear" w:color="auto" w:fill="0F6E6E"/>
          </w:tcPr>
          <w:p>
            <w:pPr>
              <w:spacing w:after="40"/>
              <w:jc w:val="left"/>
            </w:pPr>
            <w:r>
              <w:rPr>
                <w:b/>
                <w:color w:val="FFFFFF"/>
                <w:sz w:val="16"/>
              </w:rPr>
              <w:t>Qué resuelve</w:t>
            </w:r>
          </w:p>
        </w:tc>
        <w:tc>
          <w:tcPr>
            <w:tcW w:type="dxa" w:w="2296"/>
            <w:shd w:val="clear" w:color="auto" w:fill="0F6E6E"/>
          </w:tcPr>
          <w:p>
            <w:pPr>
              <w:spacing w:after="40"/>
              <w:jc w:val="left"/>
            </w:pPr>
            <w:r>
              <w:rPr>
                <w:b/>
                <w:color w:val="FFFFFF"/>
                <w:sz w:val="16"/>
              </w:rPr>
              <w:t xml:space="preserve">De qué depende, además de </w:t>
            </w:r>
            <w:r>
              <w:rPr>
                <w:rFonts w:ascii="Consolas" w:hAnsi="Consolas"/>
                <w:b/>
                <w:color w:val="FFFFFF"/>
                <w:sz w:val="13"/>
              </w:rPr>
              <w:t>identidad</w:t>
            </w:r>
            <w:r>
              <w:rPr>
                <w:b/>
                <w:color w:val="FFFFFF"/>
                <w:sz w:val="16"/>
              </w:rPr>
              <w:t xml:space="preserve"> y </w:t>
            </w:r>
            <w:r>
              <w:rPr>
                <w:rFonts w:ascii="Consolas" w:hAnsi="Consolas"/>
                <w:b/>
                <w:color w:val="FFFFFF"/>
                <w:sz w:val="13"/>
              </w:rPr>
              <w:t>auditoria</w:t>
            </w:r>
          </w:p>
        </w:tc>
      </w:tr>
      <w:tr>
        <w:trPr>
          <w:cantSplit w:val="true"/>
        </w:trPr>
        <w:tc>
          <w:tcPr>
            <w:tcW w:type="dxa" w:w="2296"/>
          </w:tcPr>
          <w:p>
            <w:pPr>
              <w:spacing w:after="40"/>
              <w:jc w:val="left"/>
            </w:pPr>
            <w:r>
              <w:rPr>
                <w:sz w:val="16"/>
              </w:rPr>
              <w:t>1. Integración</w:t>
            </w:r>
          </w:p>
        </w:tc>
        <w:tc>
          <w:tcPr>
            <w:tcW w:type="dxa" w:w="2296"/>
          </w:tcPr>
          <w:p>
            <w:pPr>
              <w:spacing w:after="40"/>
              <w:jc w:val="left"/>
            </w:pPr>
            <w:r>
              <w:rPr>
                <w:rFonts w:ascii="Consolas" w:hAnsi="Consolas"/>
                <w:sz w:val="13"/>
              </w:rPr>
              <w:t>importacion</w:t>
            </w:r>
          </w:p>
        </w:tc>
        <w:tc>
          <w:tcPr>
            <w:tcW w:type="dxa" w:w="2296"/>
          </w:tcPr>
          <w:p>
            <w:pPr>
              <w:spacing w:after="40"/>
              <w:jc w:val="left"/>
            </w:pPr>
            <w:r>
              <w:rPr>
                <w:sz w:val="16"/>
              </w:rPr>
              <w:t>Trae puntos de acopio de RedAcopio y de archivos CSV</w:t>
            </w:r>
          </w:p>
        </w:tc>
        <w:tc>
          <w:tcPr>
            <w:tcW w:type="dxa" w:w="2296"/>
          </w:tcPr>
          <w:p>
            <w:pPr>
              <w:spacing w:after="40"/>
              <w:jc w:val="left"/>
            </w:pPr>
            <w:r>
              <w:rPr>
                <w:rFonts w:ascii="Consolas" w:hAnsi="Consolas"/>
                <w:sz w:val="13"/>
              </w:rPr>
              <w:t>acopios</w:t>
            </w:r>
            <w:r>
              <w:rPr>
                <w:sz w:val="16"/>
              </w:rPr>
              <w:t xml:space="preserve">, </w:t>
            </w:r>
            <w:r>
              <w:rPr>
                <w:rFonts w:ascii="Consolas" w:hAnsi="Consolas"/>
                <w:sz w:val="13"/>
              </w:rPr>
              <w:t>catalogo</w:t>
            </w:r>
            <w:r>
              <w:rPr>
                <w:sz w:val="16"/>
              </w:rPr>
              <w:t xml:space="preserve">, </w:t>
            </w:r>
            <w:r>
              <w:rPr>
                <w:rFonts w:ascii="Consolas" w:hAnsi="Consolas"/>
                <w:sz w:val="13"/>
              </w:rPr>
              <w:t>inventario</w:t>
            </w:r>
            <w:r>
              <w:rPr>
                <w:sz w:val="16"/>
              </w:rPr>
              <w:t xml:space="preserve">, </w:t>
            </w:r>
            <w:r>
              <w:rPr>
                <w:rFonts w:ascii="Consolas" w:hAnsi="Consolas"/>
                <w:sz w:val="13"/>
              </w:rPr>
              <w:t>turnos</w:t>
            </w:r>
            <w:r>
              <w:rPr>
                <w:sz w:val="16"/>
              </w:rPr>
              <w:t xml:space="preserve">, </w:t>
            </w:r>
            <w:r>
              <w:rPr>
                <w:rFonts w:ascii="Consolas" w:hAnsi="Consolas"/>
                <w:sz w:val="13"/>
              </w:rPr>
              <w:t>almacenamiento</w:t>
            </w:r>
          </w:p>
        </w:tc>
      </w:tr>
      <w:tr>
        <w:trPr>
          <w:cantSplit w:val="true"/>
        </w:trPr>
        <w:tc>
          <w:tcPr>
            <w:tcW w:type="dxa" w:w="2296"/>
          </w:tcPr>
          <w:p>
            <w:pPr>
              <w:spacing w:after="40"/>
              <w:jc w:val="left"/>
            </w:pPr>
            <w:r>
              <w:rPr>
                <w:sz w:val="16"/>
              </w:rPr>
              <w:t>2. Procesos</w:t>
            </w:r>
          </w:p>
        </w:tc>
        <w:tc>
          <w:tcPr>
            <w:tcW w:type="dxa" w:w="2296"/>
          </w:tcPr>
          <w:p>
            <w:pPr>
              <w:spacing w:after="40"/>
              <w:jc w:val="left"/>
            </w:pPr>
            <w:r>
              <w:rPr>
                <w:rFonts w:ascii="Consolas" w:hAnsi="Consolas"/>
                <w:sz w:val="13"/>
              </w:rPr>
              <w:t>motor</w:t>
            </w:r>
            <w:r>
              <w:rPr>
                <w:sz w:val="16"/>
              </w:rPr>
              <w:t xml:space="preserve">, </w:t>
            </w:r>
            <w:r>
              <w:rPr>
                <w:rFonts w:ascii="Consolas" w:hAnsi="Consolas"/>
                <w:sz w:val="13"/>
              </w:rPr>
              <w:t>turnos</w:t>
            </w:r>
          </w:p>
        </w:tc>
        <w:tc>
          <w:tcPr>
            <w:tcW w:type="dxa" w:w="2296"/>
          </w:tcPr>
          <w:p>
            <w:pPr>
              <w:spacing w:after="40"/>
              <w:jc w:val="left"/>
            </w:pPr>
            <w:r>
              <w:rPr>
                <w:sz w:val="16"/>
              </w:rPr>
              <w:t>El motor calcula necesidad, excedentes, sugerencias y remisiones; turnos maneja jornadas, reservas y asistencia</w:t>
            </w:r>
          </w:p>
        </w:tc>
        <w:tc>
          <w:tcPr>
            <w:tcW w:type="dxa" w:w="2296"/>
          </w:tcPr>
          <w:p>
            <w:pPr>
              <w:spacing w:after="40"/>
              <w:jc w:val="left"/>
            </w:pPr>
            <w:r>
              <w:rPr>
                <w:rFonts w:ascii="Consolas" w:hAnsi="Consolas"/>
                <w:sz w:val="13"/>
              </w:rPr>
              <w:t>motor</w:t>
            </w:r>
            <w:r>
              <w:rPr>
                <w:sz w:val="16"/>
              </w:rPr>
              <w:t xml:space="preserve">: </w:t>
            </w:r>
            <w:r>
              <w:rPr>
                <w:rFonts w:ascii="Consolas" w:hAnsi="Consolas"/>
                <w:sz w:val="13"/>
              </w:rPr>
              <w:t>comprobantes</w:t>
            </w:r>
            <w:r>
              <w:rPr>
                <w:sz w:val="16"/>
              </w:rPr>
              <w:t xml:space="preserve">, </w:t>
            </w:r>
            <w:r>
              <w:rPr>
                <w:rFonts w:ascii="Consolas" w:hAnsi="Consolas"/>
                <w:sz w:val="13"/>
              </w:rPr>
              <w:t>inventario</w:t>
            </w:r>
            <w:r>
              <w:rPr>
                <w:sz w:val="16"/>
              </w:rPr>
              <w:t xml:space="preserve">, </w:t>
            </w:r>
            <w:r>
              <w:rPr>
                <w:rFonts w:ascii="Consolas" w:hAnsi="Consolas"/>
                <w:sz w:val="13"/>
              </w:rPr>
              <w:t>acopios</w:t>
            </w:r>
            <w:r>
              <w:rPr>
                <w:sz w:val="16"/>
              </w:rPr>
              <w:t xml:space="preserve">, </w:t>
            </w:r>
            <w:r>
              <w:rPr>
                <w:rFonts w:ascii="Consolas" w:hAnsi="Consolas"/>
                <w:sz w:val="13"/>
              </w:rPr>
              <w:t>catalogo</w:t>
            </w:r>
            <w:r>
              <w:rPr>
                <w:sz w:val="16"/>
              </w:rPr>
              <w:t xml:space="preserve">, </w:t>
            </w:r>
            <w:r>
              <w:rPr>
                <w:rFonts w:ascii="Consolas" w:hAnsi="Consolas"/>
                <w:sz w:val="13"/>
              </w:rPr>
              <w:t>almacenamiento</w:t>
            </w:r>
            <w:r>
              <w:rPr>
                <w:sz w:val="16"/>
              </w:rPr>
              <w:t xml:space="preserve">. </w:t>
            </w:r>
            <w:r>
              <w:rPr>
                <w:rFonts w:ascii="Consolas" w:hAnsi="Consolas"/>
                <w:sz w:val="13"/>
              </w:rPr>
              <w:t>turnos</w:t>
            </w:r>
            <w:r>
              <w:rPr>
                <w:sz w:val="16"/>
              </w:rPr>
              <w:t xml:space="preserve">: </w:t>
            </w:r>
            <w:r>
              <w:rPr>
                <w:rFonts w:ascii="Consolas" w:hAnsi="Consolas"/>
                <w:sz w:val="13"/>
              </w:rPr>
              <w:t>acopios</w:t>
            </w:r>
            <w:r>
              <w:rPr>
                <w:sz w:val="16"/>
              </w:rPr>
              <w:t xml:space="preserve">, </w:t>
            </w:r>
            <w:r>
              <w:rPr>
                <w:rFonts w:ascii="Consolas" w:hAnsi="Consolas"/>
                <w:sz w:val="13"/>
              </w:rPr>
              <w:t>notificaciones</w:t>
            </w:r>
          </w:p>
        </w:tc>
      </w:tr>
      <w:tr>
        <w:trPr>
          <w:cantSplit w:val="true"/>
        </w:trPr>
        <w:tc>
          <w:tcPr>
            <w:tcW w:type="dxa" w:w="2296"/>
          </w:tcPr>
          <w:p>
            <w:pPr>
              <w:spacing w:after="40"/>
              <w:jc w:val="left"/>
            </w:pPr>
            <w:r>
              <w:rPr>
                <w:sz w:val="16"/>
              </w:rPr>
              <w:t>3. Registro</w:t>
            </w:r>
          </w:p>
        </w:tc>
        <w:tc>
          <w:tcPr>
            <w:tcW w:type="dxa" w:w="2296"/>
          </w:tcPr>
          <w:p>
            <w:pPr>
              <w:spacing w:after="40"/>
              <w:jc w:val="left"/>
            </w:pPr>
            <w:r>
              <w:rPr>
                <w:rFonts w:ascii="Consolas" w:hAnsi="Consolas"/>
                <w:sz w:val="13"/>
              </w:rPr>
              <w:t>comprobantes</w:t>
            </w:r>
            <w:r>
              <w:rPr>
                <w:sz w:val="16"/>
              </w:rPr>
              <w:t xml:space="preserve">, </w:t>
            </w:r>
            <w:r>
              <w:rPr>
                <w:rFonts w:ascii="Consolas" w:hAnsi="Consolas"/>
                <w:sz w:val="13"/>
              </w:rPr>
              <w:t>inventario</w:t>
            </w:r>
          </w:p>
        </w:tc>
        <w:tc>
          <w:tcPr>
            <w:tcW w:type="dxa" w:w="2296"/>
          </w:tcPr>
          <w:p>
            <w:pPr>
              <w:spacing w:after="40"/>
              <w:jc w:val="left"/>
            </w:pPr>
            <w:r>
              <w:rPr>
                <w:sz w:val="16"/>
              </w:rPr>
              <w:t>Las donaciones con folio y los movimientos de inventario, de los que sale el saldo</w:t>
            </w:r>
          </w:p>
        </w:tc>
        <w:tc>
          <w:tcPr>
            <w:tcW w:type="dxa" w:w="2296"/>
          </w:tcPr>
          <w:p>
            <w:pPr>
              <w:spacing w:after="40"/>
              <w:jc w:val="left"/>
            </w:pPr>
            <w:r>
              <w:rPr>
                <w:rFonts w:ascii="Consolas" w:hAnsi="Consolas"/>
                <w:sz w:val="13"/>
              </w:rPr>
              <w:t>comprobantes</w:t>
            </w:r>
            <w:r>
              <w:rPr>
                <w:sz w:val="16"/>
              </w:rPr>
              <w:t xml:space="preserve">: </w:t>
            </w:r>
            <w:r>
              <w:rPr>
                <w:rFonts w:ascii="Consolas" w:hAnsi="Consolas"/>
                <w:sz w:val="13"/>
              </w:rPr>
              <w:t>inventario</w:t>
            </w:r>
            <w:r>
              <w:rPr>
                <w:sz w:val="16"/>
              </w:rPr>
              <w:t xml:space="preserve">, </w:t>
            </w:r>
            <w:r>
              <w:rPr>
                <w:rFonts w:ascii="Consolas" w:hAnsi="Consolas"/>
                <w:sz w:val="13"/>
              </w:rPr>
              <w:t>acopios</w:t>
            </w:r>
            <w:r>
              <w:rPr>
                <w:sz w:val="16"/>
              </w:rPr>
              <w:t xml:space="preserve">, </w:t>
            </w:r>
            <w:r>
              <w:rPr>
                <w:rFonts w:ascii="Consolas" w:hAnsi="Consolas"/>
                <w:sz w:val="13"/>
              </w:rPr>
              <w:t>catalogo</w:t>
            </w:r>
            <w:r>
              <w:rPr>
                <w:sz w:val="16"/>
              </w:rPr>
              <w:t xml:space="preserve">, </w:t>
            </w:r>
            <w:r>
              <w:rPr>
                <w:rFonts w:ascii="Consolas" w:hAnsi="Consolas"/>
                <w:sz w:val="13"/>
              </w:rPr>
              <w:t>almacenamiento</w:t>
            </w:r>
            <w:r>
              <w:rPr>
                <w:sz w:val="16"/>
              </w:rPr>
              <w:t xml:space="preserve">, </w:t>
            </w:r>
            <w:r>
              <w:rPr>
                <w:rFonts w:ascii="Consolas" w:hAnsi="Consolas"/>
                <w:sz w:val="13"/>
              </w:rPr>
              <w:t>notificaciones</w:t>
            </w:r>
            <w:r>
              <w:rPr>
                <w:sz w:val="16"/>
              </w:rPr>
              <w:t xml:space="preserve">. </w:t>
            </w:r>
            <w:r>
              <w:rPr>
                <w:rFonts w:ascii="Consolas" w:hAnsi="Consolas"/>
                <w:sz w:val="13"/>
              </w:rPr>
              <w:t>inventario</w:t>
            </w:r>
            <w:r>
              <w:rPr>
                <w:sz w:val="16"/>
              </w:rPr>
              <w:t xml:space="preserve">: </w:t>
            </w:r>
            <w:r>
              <w:rPr>
                <w:rFonts w:ascii="Consolas" w:hAnsi="Consolas"/>
                <w:sz w:val="13"/>
              </w:rPr>
              <w:t>acopios</w:t>
            </w:r>
            <w:r>
              <w:rPr>
                <w:sz w:val="16"/>
              </w:rPr>
              <w:t xml:space="preserve">, </w:t>
            </w:r>
            <w:r>
              <w:rPr>
                <w:rFonts w:ascii="Consolas" w:hAnsi="Consolas"/>
                <w:sz w:val="13"/>
              </w:rPr>
              <w:t>catalogo</w:t>
            </w:r>
          </w:p>
        </w:tc>
      </w:tr>
      <w:tr>
        <w:trPr>
          <w:cantSplit w:val="true"/>
        </w:trPr>
        <w:tc>
          <w:tcPr>
            <w:tcW w:type="dxa" w:w="2296"/>
          </w:tcPr>
          <w:p>
            <w:pPr>
              <w:spacing w:after="40"/>
              <w:jc w:val="left"/>
            </w:pPr>
            <w:r>
              <w:rPr>
                <w:sz w:val="16"/>
              </w:rPr>
              <w:t>4. Red y catálogo</w:t>
            </w:r>
          </w:p>
        </w:tc>
        <w:tc>
          <w:tcPr>
            <w:tcW w:type="dxa" w:w="2296"/>
          </w:tcPr>
          <w:p>
            <w:pPr>
              <w:spacing w:after="40"/>
              <w:jc w:val="left"/>
            </w:pPr>
            <w:r>
              <w:rPr>
                <w:rFonts w:ascii="Consolas" w:hAnsi="Consolas"/>
                <w:sz w:val="13"/>
              </w:rPr>
              <w:t>acopios</w:t>
            </w:r>
            <w:r>
              <w:rPr>
                <w:sz w:val="16"/>
              </w:rPr>
              <w:t xml:space="preserve">, </w:t>
            </w:r>
            <w:r>
              <w:rPr>
                <w:rFonts w:ascii="Consolas" w:hAnsi="Consolas"/>
                <w:sz w:val="13"/>
              </w:rPr>
              <w:t>catalogo</w:t>
            </w:r>
          </w:p>
        </w:tc>
        <w:tc>
          <w:tcPr>
            <w:tcW w:type="dxa" w:w="2296"/>
          </w:tcPr>
          <w:p>
            <w:pPr>
              <w:spacing w:after="40"/>
              <w:jc w:val="left"/>
            </w:pPr>
            <w:r>
              <w:rPr>
                <w:sz w:val="16"/>
              </w:rPr>
              <w:t>Dónde se recibe (acopios, zonas, entidades, causas) y qué se recibe (categorías, códigos de barras, canasta, emergencias)</w:t>
            </w:r>
          </w:p>
        </w:tc>
        <w:tc>
          <w:tcPr>
            <w:tcW w:type="dxa" w:w="2296"/>
          </w:tcPr>
          <w:p>
            <w:pPr>
              <w:spacing w:after="40"/>
              <w:jc w:val="left"/>
            </w:pPr>
            <w:r>
              <w:rPr>
                <w:rFonts w:ascii="Consolas" w:hAnsi="Consolas"/>
                <w:sz w:val="13"/>
              </w:rPr>
              <w:t>acopios</w:t>
            </w:r>
            <w:r>
              <w:rPr>
                <w:sz w:val="16"/>
              </w:rPr>
              <w:t xml:space="preserve">: </w:t>
            </w:r>
            <w:r>
              <w:rPr>
                <w:rFonts w:ascii="Consolas" w:hAnsi="Consolas"/>
                <w:sz w:val="13"/>
              </w:rPr>
              <w:t>almacenamiento</w:t>
            </w:r>
          </w:p>
        </w:tc>
      </w:tr>
      <w:tr>
        <w:trPr>
          <w:cantSplit w:val="true"/>
        </w:trPr>
        <w:tc>
          <w:tcPr>
            <w:tcW w:type="dxa" w:w="2296"/>
          </w:tcPr>
          <w:p>
            <w:pPr>
              <w:spacing w:after="40"/>
              <w:jc w:val="left"/>
            </w:pPr>
            <w:r>
              <w:rPr>
                <w:sz w:val="16"/>
              </w:rPr>
              <w:t>5. Transversales</w:t>
            </w:r>
          </w:p>
        </w:tc>
        <w:tc>
          <w:tcPr>
            <w:tcW w:type="dxa" w:w="2296"/>
          </w:tcPr>
          <w:p>
            <w:pPr>
              <w:spacing w:after="40"/>
              <w:jc w:val="left"/>
            </w:pPr>
            <w:r>
              <w:rPr>
                <w:rFonts w:ascii="Consolas" w:hAnsi="Consolas"/>
                <w:sz w:val="13"/>
              </w:rPr>
              <w:t>identidad</w:t>
            </w:r>
            <w:r>
              <w:rPr>
                <w:sz w:val="16"/>
              </w:rPr>
              <w:t xml:space="preserve">, </w:t>
            </w:r>
            <w:r>
              <w:rPr>
                <w:rFonts w:ascii="Consolas" w:hAnsi="Consolas"/>
                <w:sz w:val="13"/>
              </w:rPr>
              <w:t>auditoria</w:t>
            </w:r>
            <w:r>
              <w:rPr>
                <w:sz w:val="16"/>
              </w:rPr>
              <w:t xml:space="preserve">, </w:t>
            </w:r>
            <w:r>
              <w:rPr>
                <w:rFonts w:ascii="Consolas" w:hAnsi="Consolas"/>
                <w:sz w:val="13"/>
              </w:rPr>
              <w:t>notificaciones</w:t>
            </w:r>
            <w:r>
              <w:rPr>
                <w:sz w:val="16"/>
              </w:rPr>
              <w:t xml:space="preserve">, </w:t>
            </w:r>
            <w:r>
              <w:rPr>
                <w:rFonts w:ascii="Consolas" w:hAnsi="Consolas"/>
                <w:sz w:val="13"/>
              </w:rPr>
              <w:t>almacenamiento</w:t>
            </w:r>
            <w:r>
              <w:rPr>
                <w:sz w:val="16"/>
              </w:rPr>
              <w:t xml:space="preserve">, </w:t>
            </w:r>
            <w:r>
              <w:rPr>
                <w:rFonts w:ascii="Consolas" w:hAnsi="Consolas"/>
                <w:sz w:val="13"/>
              </w:rPr>
              <w:t>salud</w:t>
            </w:r>
          </w:p>
        </w:tc>
        <w:tc>
          <w:tcPr>
            <w:tcW w:type="dxa" w:w="2296"/>
          </w:tcPr>
          <w:p>
            <w:pPr>
              <w:spacing w:after="40"/>
              <w:jc w:val="left"/>
            </w:pPr>
            <w:r>
              <w:rPr>
                <w:sz w:val="16"/>
              </w:rPr>
              <w:t>Sesión, bitácora, cola de correo, archivos en Garage y chequeo de salud</w:t>
            </w:r>
          </w:p>
        </w:tc>
        <w:tc>
          <w:tcPr>
            <w:tcW w:type="dxa" w:w="2296"/>
          </w:tcPr>
          <w:p>
            <w:pPr>
              <w:spacing w:after="40"/>
              <w:jc w:val="left"/>
            </w:pPr>
            <w:r>
              <w:rPr>
                <w:rFonts w:ascii="Consolas" w:hAnsi="Consolas"/>
                <w:sz w:val="13"/>
              </w:rPr>
              <w:t>identidad</w:t>
            </w:r>
            <w:r>
              <w:rPr>
                <w:sz w:val="16"/>
              </w:rPr>
              <w:t xml:space="preserve">: </w:t>
            </w:r>
            <w:r>
              <w:rPr>
                <w:rFonts w:ascii="Consolas" w:hAnsi="Consolas"/>
                <w:sz w:val="13"/>
              </w:rPr>
              <w:t>notificaciones</w:t>
            </w:r>
          </w:p>
        </w:tc>
      </w:tr>
    </w:tbl>
    <w:p>
      <w:pPr>
        <w:spacing w:after="40"/>
      </w:pPr>
    </w:p>
    <w:p>
      <w:r>
        <w:t xml:space="preserve">El 30 de octubre comparamos el diagrama con los imports reales y faltaba una dependencia: solo estaba dibujada la de </w:t>
      </w:r>
      <w:r>
        <w:rPr>
          <w:rFonts w:ascii="Consolas" w:hAnsi="Consolas"/>
          <w:sz w:val="19"/>
        </w:rPr>
        <w:t>comprobantes</w:t>
      </w:r>
      <w:r>
        <w:t xml:space="preserve"> hacia </w:t>
      </w:r>
      <w:r>
        <w:rPr>
          <w:rFonts w:ascii="Consolas" w:hAnsi="Consolas"/>
          <w:sz w:val="19"/>
        </w:rPr>
        <w:t>almacenamiento</w:t>
      </w:r>
      <w:r>
        <w:t xml:space="preserve">, y también dependen de él </w:t>
      </w:r>
      <w:r>
        <w:rPr>
          <w:rFonts w:ascii="Consolas" w:hAnsi="Consolas"/>
          <w:sz w:val="19"/>
        </w:rPr>
        <w:t>acopios</w:t>
      </w:r>
      <w:r>
        <w:t xml:space="preserve">, </w:t>
      </w:r>
      <w:r>
        <w:rPr>
          <w:rFonts w:ascii="Consolas" w:hAnsi="Consolas"/>
          <w:sz w:val="19"/>
        </w:rPr>
        <w:t>motor</w:t>
      </w:r>
      <w:r>
        <w:t xml:space="preserve"> e </w:t>
      </w:r>
      <w:r>
        <w:rPr>
          <w:rFonts w:ascii="Consolas" w:hAnsi="Consolas"/>
          <w:sz w:val="19"/>
        </w:rPr>
        <w:t>importacion</w:t>
      </w:r>
      <w:r>
        <w:t>. Ahora la etiqueta junto a esa flecha los nombra. La regla de capas no depende de que alguien la recuerde: dependency-cruiser la revisa en cada pull request y el CI falla si un módulo importa a uno que no tiene permitido.</w:t>
      </w:r>
    </w:p>
    <w:p>
      <w:pPr>
        <w:pStyle w:val="Ttulo2"/>
      </w:pPr>
      <w:r>
        <w:t>1b. ADR-002 · Organización del código en paquetes</w:t>
      </w:r>
    </w:p>
    <w:p>
      <w:r>
        <w:t xml:space="preserve">En el repositorio es el </w:t>
      </w:r>
      <w:r>
        <w:t>ADR-0023</w:t>
      </w:r>
      <w:r>
        <w:t>: el número 0002 ya era otra decisión y los números no se reutilizan. El ADR-001 del curso es el ADR-0008 del repositorio.</w:t>
      </w:r>
    </w:p>
    <w:tbl>
      <w:tblPr>
        <w:tblStyle w:val="Tablaconcuadrcula"/>
        <w:tblW w:type="auto" w:w="0"/>
        <w:jc w:val="center"/>
        <w:tblLook w:firstColumn="1" w:firstRow="1" w:lastColumn="0" w:lastRow="0" w:noHBand="0" w:noVBand="1" w:val="04A0"/>
      </w:tblPr>
      <w:tblGrid>
        <w:gridCol w:w="4592"/>
        <w:gridCol w:w="4592"/>
      </w:tblGrid>
      <w:tr>
        <w:trPr>
          <w:cantSplit w:val="true"/>
          <w:tblHeader w:val="true"/>
        </w:trPr>
        <w:tc>
          <w:tcPr>
            <w:tcW w:type="dxa" w:w="2268"/>
            <w:shd w:val="clear" w:color="auto" w:fill="0F6E6E"/>
          </w:tcPr>
          <w:p>
            <w:pPr>
              <w:spacing w:after="40"/>
              <w:jc w:val="left"/>
            </w:pPr>
            <w:r>
              <w:rPr>
                <w:b/>
                <w:color w:val="FFFFFF"/>
                <w:sz w:val="16"/>
              </w:rPr>
              <w:t>Elemento</w:t>
            </w:r>
          </w:p>
        </w:tc>
        <w:tc>
          <w:tcPr>
            <w:tcW w:type="dxa" w:w="6916"/>
            <w:shd w:val="clear" w:color="auto" w:fill="0F6E6E"/>
          </w:tcPr>
          <w:p>
            <w:pPr>
              <w:spacing w:after="40"/>
              <w:jc w:val="left"/>
            </w:pPr>
            <w:r>
              <w:rPr>
                <w:b/>
                <w:color w:val="FFFFFF"/>
                <w:sz w:val="16"/>
              </w:rPr>
              <w:t>Qué decidimos</w:t>
            </w:r>
          </w:p>
        </w:tc>
      </w:tr>
      <w:tr>
        <w:trPr>
          <w:cantSplit w:val="true"/>
        </w:trPr>
        <w:tc>
          <w:tcPr>
            <w:tcW w:type="dxa" w:w="2268"/>
          </w:tcPr>
          <w:p>
            <w:pPr>
              <w:spacing w:after="40"/>
              <w:jc w:val="left"/>
            </w:pPr>
            <w:r>
              <w:rPr>
                <w:sz w:val="16"/>
              </w:rPr>
              <w:t>Contexto</w:t>
            </w:r>
          </w:p>
        </w:tc>
        <w:tc>
          <w:tcPr>
            <w:tcW w:type="dxa" w:w="6916"/>
          </w:tcPr>
          <w:p>
            <w:pPr>
              <w:spacing w:after="40"/>
              <w:jc w:val="left"/>
            </w:pPr>
            <w:r>
              <w:rPr>
                <w:sz w:val="16"/>
              </w:rPr>
              <w:t>Somos cuatro personas y cada una tiene módulos propios, así que la estructura de carpetas tenía que evitar que el cambio de una tocara archivos de otra. La web y la API cambian juntas y usan las mismas fórmulas del motor. La bitácora se escribe en la misma transacción que cada cambio y el saldo sale de los movimientos, lo que obliga a una sola base y un solo proceso. RNF-13 exige módulos sin dependencias circulares</w:t>
            </w:r>
          </w:p>
        </w:tc>
      </w:tr>
      <w:tr>
        <w:trPr>
          <w:cantSplit w:val="true"/>
        </w:trPr>
        <w:tc>
          <w:tcPr>
            <w:tcW w:type="dxa" w:w="2268"/>
          </w:tcPr>
          <w:p>
            <w:pPr>
              <w:spacing w:after="40"/>
              <w:jc w:val="left"/>
            </w:pPr>
            <w:r>
              <w:rPr>
                <w:sz w:val="16"/>
              </w:rPr>
              <w:t>Decisión</w:t>
            </w:r>
          </w:p>
        </w:tc>
        <w:tc>
          <w:tcPr>
            <w:tcW w:type="dxa" w:w="6916"/>
          </w:tcPr>
          <w:p>
            <w:pPr>
              <w:spacing w:after="40"/>
              <w:jc w:val="left"/>
            </w:pPr>
            <w:r>
              <w:rPr>
                <w:sz w:val="16"/>
              </w:rPr>
              <w:t xml:space="preserve">Un monorepo con </w:t>
            </w:r>
            <w:r>
              <w:rPr>
                <w:rFonts w:ascii="Consolas" w:hAnsi="Consolas"/>
                <w:sz w:val="13"/>
              </w:rPr>
              <w:t>apps/web</w:t>
            </w:r>
            <w:r>
              <w:rPr>
                <w:sz w:val="16"/>
              </w:rPr>
              <w:t xml:space="preserve">, </w:t>
            </w:r>
            <w:r>
              <w:rPr>
                <w:rFonts w:ascii="Consolas" w:hAnsi="Consolas"/>
                <w:sz w:val="13"/>
              </w:rPr>
              <w:t>apps/api</w:t>
            </w:r>
            <w:r>
              <w:rPr>
                <w:sz w:val="16"/>
              </w:rPr>
              <w:t xml:space="preserve">, </w:t>
            </w:r>
            <w:r>
              <w:rPr>
                <w:rFonts w:ascii="Consolas" w:hAnsi="Consolas"/>
                <w:sz w:val="13"/>
              </w:rPr>
              <w:t>packages/shared</w:t>
            </w:r>
            <w:r>
              <w:rPr>
                <w:sz w:val="16"/>
              </w:rPr>
              <w:t xml:space="preserve"> (funciones puras de las dos apps), </w:t>
            </w:r>
            <w:r>
              <w:rPr>
                <w:rFonts w:ascii="Consolas" w:hAnsi="Consolas"/>
                <w:sz w:val="13"/>
              </w:rPr>
              <w:t>packages/ui-tokens</w:t>
            </w:r>
            <w:r>
              <w:rPr>
                <w:sz w:val="16"/>
              </w:rPr>
              <w:t xml:space="preserve"> (colores), </w:t>
            </w:r>
            <w:r>
              <w:rPr>
                <w:rFonts w:ascii="Consolas" w:hAnsi="Consolas"/>
                <w:sz w:val="13"/>
              </w:rPr>
              <w:t>prisma/</w:t>
            </w:r>
            <w:r>
              <w:rPr>
                <w:sz w:val="16"/>
              </w:rPr>
              <w:t xml:space="preserve"> e </w:t>
            </w:r>
            <w:r>
              <w:rPr>
                <w:rFonts w:ascii="Consolas" w:hAnsi="Consolas"/>
                <w:sz w:val="13"/>
              </w:rPr>
              <w:t>infra/</w:t>
            </w:r>
            <w:r>
              <w:rPr>
                <w:sz w:val="16"/>
              </w:rPr>
              <w:t>. La web solo habla con la API por HTTP y toma los tipos del contrato OpenAPI. En la API, un módulo por dominio, apilado en las cinco capas del diagrama. Un módulo importa a los de capas inferiores y, en dos casos, a uno de su misma capa (</w:t>
            </w:r>
            <w:r>
              <w:rPr>
                <w:rFonts w:ascii="Consolas" w:hAnsi="Consolas"/>
                <w:sz w:val="13"/>
              </w:rPr>
              <w:t>comprobantes</w:t>
            </w:r>
            <w:r>
              <w:rPr>
                <w:sz w:val="16"/>
              </w:rPr>
              <w:t xml:space="preserve"> usa </w:t>
            </w:r>
            <w:r>
              <w:rPr>
                <w:rFonts w:ascii="Consolas" w:hAnsi="Consolas"/>
                <w:sz w:val="13"/>
              </w:rPr>
              <w:t>inventario</w:t>
            </w:r>
            <w:r>
              <w:rPr>
                <w:sz w:val="16"/>
              </w:rPr>
              <w:t xml:space="preserve">; </w:t>
            </w:r>
            <w:r>
              <w:rPr>
                <w:rFonts w:ascii="Consolas" w:hAnsi="Consolas"/>
                <w:sz w:val="13"/>
              </w:rPr>
              <w:t>identidad</w:t>
            </w:r>
            <w:r>
              <w:rPr>
                <w:sz w:val="16"/>
              </w:rPr>
              <w:t xml:space="preserve"> usa </w:t>
            </w:r>
            <w:r>
              <w:rPr>
                <w:rFonts w:ascii="Consolas" w:hAnsi="Consolas"/>
                <w:sz w:val="13"/>
              </w:rPr>
              <w:t>auditoria</w:t>
            </w:r>
            <w:r>
              <w:rPr>
                <w:sz w:val="16"/>
              </w:rPr>
              <w:t xml:space="preserve"> y </w:t>
            </w:r>
            <w:r>
              <w:rPr>
                <w:rFonts w:ascii="Consolas" w:hAnsi="Consolas"/>
                <w:sz w:val="13"/>
              </w:rPr>
              <w:t>notificaciones</w:t>
            </w:r>
            <w:r>
              <w:rPr>
                <w:sz w:val="16"/>
              </w:rPr>
              <w:t xml:space="preserve">). Ninguno importa hacia arriba, y dependency-cruiser lo revisa en CI. Cuando un módulo de abajo necesita algo de uno de arriba, declara un puerto en </w:t>
            </w:r>
            <w:r>
              <w:rPr>
                <w:rFonts w:ascii="Consolas" w:hAnsi="Consolas"/>
                <w:sz w:val="13"/>
              </w:rPr>
              <w:t>comun/</w:t>
            </w:r>
            <w:r>
              <w:rPr>
                <w:sz w:val="16"/>
              </w:rPr>
              <w:t xml:space="preserve"> y el de arriba lo implementa (</w:t>
            </w:r>
            <w:r>
              <w:rPr>
                <w:rFonts w:ascii="Consolas" w:hAnsi="Consolas"/>
                <w:sz w:val="13"/>
              </w:rPr>
              <w:t>VerificadorUbicaciones</w:t>
            </w:r>
            <w:r>
              <w:rPr>
                <w:sz w:val="16"/>
              </w:rPr>
              <w:t xml:space="preserve">, </w:t>
            </w:r>
            <w:r>
              <w:rPr>
                <w:rFonts w:ascii="Consolas" w:hAnsi="Consolas"/>
                <w:sz w:val="13"/>
              </w:rPr>
              <w:t>ProveedorIdentidad</w:t>
            </w:r>
            <w:r>
              <w:rPr>
                <w:sz w:val="16"/>
              </w:rPr>
              <w:t>)</w:t>
            </w:r>
          </w:p>
        </w:tc>
      </w:tr>
      <w:tr>
        <w:trPr>
          <w:cantSplit w:val="true"/>
        </w:trPr>
        <w:tc>
          <w:tcPr>
            <w:tcW w:type="dxa" w:w="2268"/>
          </w:tcPr>
          <w:p>
            <w:pPr>
              <w:spacing w:after="40"/>
              <w:jc w:val="left"/>
            </w:pPr>
            <w:r>
              <w:rPr>
                <w:sz w:val="16"/>
              </w:rPr>
              <w:t>Alternativa considerada</w:t>
            </w:r>
          </w:p>
        </w:tc>
        <w:tc>
          <w:tcPr>
            <w:tcW w:type="dxa" w:w="6916"/>
          </w:tcPr>
          <w:p>
            <w:pPr>
              <w:spacing w:after="40"/>
              <w:jc w:val="left"/>
            </w:pPr>
            <w:r>
              <w:rPr>
                <w:sz w:val="16"/>
              </w:rPr>
              <w:t>Organizar por capas técnicas, con carpetas globales de controladores, servicios y repositorios, donde cualquier servicio puede llamar a cualquier otro. También separar la web y la API en dos repositorios</w:t>
            </w:r>
          </w:p>
        </w:tc>
      </w:tr>
      <w:tr>
        <w:trPr>
          <w:cantSplit w:val="true"/>
        </w:trPr>
        <w:tc>
          <w:tcPr>
            <w:tcW w:type="dxa" w:w="2268"/>
          </w:tcPr>
          <w:p>
            <w:pPr>
              <w:spacing w:after="40"/>
              <w:jc w:val="left"/>
            </w:pPr>
            <w:r>
              <w:rPr>
                <w:sz w:val="16"/>
              </w:rPr>
              <w:t>Justificación</w:t>
            </w:r>
          </w:p>
        </w:tc>
        <w:tc>
          <w:tcPr>
            <w:tcW w:type="dxa" w:w="6916"/>
          </w:tcPr>
          <w:p>
            <w:pPr>
              <w:spacing w:after="40"/>
              <w:jc w:val="left"/>
            </w:pPr>
            <w:r>
              <w:rPr>
                <w:sz w:val="16"/>
              </w:rPr>
              <w:t xml:space="preserve">Cada módulo es un límite del dominio y casi siempre lo que una persona tiene asignado. La regla de dependencias la revisa una herramienta en cada PR. Las fórmulas se escriben una sola vez. Con capas técnicas, las cuatro personas tocarían las mismas carpetas y nada impediría que el motor leyera tablas de otro módulo. Con dos repositorios, un cambio de endpoint necesitaría dos PR coordinados y </w:t>
            </w:r>
            <w:r>
              <w:rPr>
                <w:rFonts w:ascii="Consolas" w:hAnsi="Consolas"/>
                <w:sz w:val="13"/>
              </w:rPr>
              <w:t>packages/shared</w:t>
            </w:r>
            <w:r>
              <w:rPr>
                <w:sz w:val="16"/>
              </w:rPr>
              <w:t xml:space="preserve"> tendría que publicarse como paquete</w:t>
            </w:r>
          </w:p>
        </w:tc>
      </w:tr>
      <w:tr>
        <w:trPr>
          <w:cantSplit w:val="true"/>
        </w:trPr>
        <w:tc>
          <w:tcPr>
            <w:tcW w:type="dxa" w:w="2268"/>
          </w:tcPr>
          <w:p>
            <w:pPr>
              <w:spacing w:after="40"/>
              <w:jc w:val="left"/>
            </w:pPr>
            <w:r>
              <w:rPr>
                <w:sz w:val="16"/>
              </w:rPr>
              <w:t>Consecuencias</w:t>
            </w:r>
          </w:p>
        </w:tc>
        <w:tc>
          <w:tcPr>
            <w:tcW w:type="dxa" w:w="6916"/>
          </w:tcPr>
          <w:p>
            <w:pPr>
              <w:spacing w:after="40"/>
              <w:jc w:val="left"/>
            </w:pPr>
            <w:r>
              <w:rPr>
                <w:sz w:val="16"/>
              </w:rPr>
              <w:t xml:space="preserve">Facilita ubicar un cambio, medir qué afecta y cambiar la web y la API en el mismo PR. Limita las llamadas hacia arriba, que necesitan un puerto, y deja todo en un proceso: el motor no se puede escalar aparte. Puede requerir ajustes: </w:t>
            </w:r>
            <w:r>
              <w:rPr>
                <w:rFonts w:ascii="Consolas" w:hAnsi="Consolas"/>
                <w:sz w:val="13"/>
              </w:rPr>
              <w:t>motor</w:t>
            </w:r>
            <w:r>
              <w:rPr>
                <w:sz w:val="16"/>
              </w:rPr>
              <w:t xml:space="preserve"> ya depende de siete módulos y convendría partirlo si sigue creciendo, y la cola de correo solo es segura con una instancia de la API (P-089)</w:t>
            </w:r>
          </w:p>
        </w:tc>
      </w:tr>
    </w:tbl>
    <w:p>
      <w:pPr>
        <w:spacing w:after="40"/>
      </w:pPr>
    </w:p>
    <w:p>
      <w:pPr>
        <w:pStyle w:val="Ttulo1"/>
      </w:pPr>
      <w:r>
        <w:t>2. Diagrama de comportamiento: estados de la donación</w:t>
      </w:r>
    </w:p>
    <w:p>
      <w:pPr>
        <w:pStyle w:val="Ttulo2"/>
      </w:pPr>
      <w:r>
        <w:t>2a. Qué representa y por qué un diagrama de estados</w:t>
      </w:r>
    </w:p>
    <w:p>
      <w:r>
        <w:t xml:space="preserve">El diagrama sigue el ciclo de vida de una donación (tabla </w:t>
      </w:r>
      <w:r>
        <w:rPr>
          <w:rFonts w:ascii="Consolas" w:hAnsi="Consolas"/>
          <w:sz w:val="19"/>
        </w:rPr>
        <w:t>comprobante</w:t>
      </w:r>
      <w:r>
        <w:t xml:space="preserve">, enum </w:t>
      </w:r>
      <w:r>
        <w:rPr>
          <w:rFonts w:ascii="Consolas" w:hAnsi="Consolas"/>
          <w:sz w:val="19"/>
        </w:rPr>
        <w:t>EstadoComprobante</w:t>
      </w:r>
      <w:r>
        <w:t>): desde que el Donador la prepara en el portal hasta que un Auditor la concilia contra las entradas de inventario, la rechaza, o hasta que se cancela. Corresponde a la historia HU-006 («Comprobar que mi donación llegó») y a los requerimientos RF-CMP-001B (preparar una donación), RF-CMP-001C (confirmar la recepción física), RF-CMP-004 (conciliar), RF-CMP-005 (rechazar) y RF-CMP-006 (seguimiento por folio).</w:t>
      </w:r>
    </w:p>
    <w:p>
      <w:r>
        <w:t>Elegimos un diagrama de estados porque en la donación intervienen cuatro actores (Donador, Operador, Auditor y una tarea programada) y lo que cada uno puede hacer depende del estado en que la encuentra. Un diagrama de actividades habría repartido esas reglas entre carriles y no dejaría ver de un vistazo, por ejemplo, que un rechazo se puede revertir y una conciliación no.</w:t>
      </w:r>
    </w:p>
    <w:p>
      <w:pPr>
        <w:sectPr>
          <w:pgSz w:w="11906" w:h="16838"/>
          <w:pgMar w:top="1247" w:right="1361" w:bottom="1134" w:left="1361"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8297570" cy="4896375"/>
            <wp:docPr id="3" name="Picture 3"/>
            <wp:cNvGraphicFramePr>
              <a:graphicFrameLocks noChangeAspect="1"/>
            </wp:cNvGraphicFramePr>
            <a:graphic>
              <a:graphicData uri="http://schemas.openxmlformats.org/drawingml/2006/picture">
                <pic:pic>
                  <pic:nvPicPr>
                    <pic:cNvPr id="0" name="comportamiento-01-estados-de-la-donacion.png"/>
                    <pic:cNvPicPr/>
                  </pic:nvPicPr>
                  <pic:blipFill>
                    <a:blip r:embed="rId29"/>
                    <a:stretch>
                      <a:fillRect/>
                    </a:stretch>
                  </pic:blipFill>
                  <pic:spPr>
                    <a:xfrm>
                      <a:off x="0" y="0"/>
                      <a:ext cx="8297570" cy="4896375"/>
                    </a:xfrm>
                    <a:prstGeom prst="rect"/>
                  </pic:spPr>
                </pic:pic>
              </a:graphicData>
            </a:graphic>
          </wp:inline>
        </w:drawing>
      </w:r>
    </w:p>
    <w:p>
      <w:pPr>
        <w:jc w:val="center"/>
      </w:pPr>
      <w:r>
        <w:rPr>
          <w:b/>
          <w:color w:val="57534E"/>
          <w:sz w:val="18"/>
        </w:rPr>
        <w:t xml:space="preserve">Figura 3. </w:t>
      </w:r>
      <w:r>
        <w:rPr>
          <w:color w:val="57534E"/>
          <w:sz w:val="18"/>
        </w:rPr>
        <w:t>Estados de la donación: PREPARADO, PENDIENTE, CONCILIADO, RECHAZADO y CANCELADO, con nueve transiciones numeradas y coloreadas según quién las dispara.</w:t>
      </w:r>
    </w:p>
    <w:p>
      <w:pPr>
        <w:sectPr>
          <w:pgSz w:w="16838" w:h="11906" w:orient="landscape"/>
          <w:pgMar w:top="1247" w:right="1361" w:bottom="1134" w:left="1361" w:header="720" w:footer="720" w:gutter="0"/>
          <w:cols w:space="720"/>
          <w:docGrid w:linePitch="360"/>
        </w:sectPr>
      </w:pPr>
    </w:p>
    <w:p>
      <w:pPr>
        <w:pStyle w:val="Ttulo2"/>
      </w:pPr>
      <w:r>
        <w:t>2b. Cómo leerlo</w:t>
      </w:r>
    </w:p>
    <w:p>
      <w:pPr>
        <w:pStyle w:val="Vineta"/>
      </w:pPr>
      <w:r>
        <w:t xml:space="preserve">•  </w:t>
      </w:r>
      <w:r>
        <w:t>Cada caja es un estado; la frase debajo del nombre dice qué significa para la persona que donó. Las cajas grises de borde grueso (CONCILIADO y CANCELADO) son estados finales: de ahí la donación no sale.</w:t>
      </w:r>
    </w:p>
    <w:p>
      <w:pPr>
        <w:pStyle w:val="Vineta"/>
      </w:pPr>
      <w:r>
        <w:t xml:space="preserve">•  </w:t>
      </w:r>
      <w:r>
        <w:t>El color de la flecha dice quién dispara el cambio: verde azulado el Donador, ocre el Operador del acopio, índigo el Auditor (o el Admin) y gris punteado la tarea programada, que corre sin que nadie la pida.</w:t>
      </w:r>
    </w:p>
    <w:p>
      <w:pPr>
        <w:pStyle w:val="Vineta"/>
      </w:pPr>
      <w:r>
        <w:t xml:space="preserve">•  </w:t>
      </w:r>
      <w:r>
        <w:t>Cada etiqueta sigue la notación UML: primero el evento, entre corchetes la guarda (la condición que la API exige) y después de la barra el efecto que deja la transición.</w:t>
      </w:r>
    </w:p>
    <w:p>
      <w:pPr>
        <w:pStyle w:val="Vineta"/>
      </w:pPr>
      <w:r>
        <w:t xml:space="preserve">•  </w:t>
      </w:r>
      <w:r>
        <w:t>Los números del 1 al 9 son los mismos de la tabla de abajo, que dice qué método del código implementa cada flecha.</w:t>
      </w:r>
    </w:p>
    <w:p>
      <w:pPr>
        <w:pStyle w:val="Ttulo2"/>
      </w:pPr>
      <w:r>
        <w:t>2c. Recorridos</w:t>
      </w:r>
    </w:p>
    <w:p>
      <w:r>
        <w:t>El recorrido normal es 1 → 2 → 5. El Donador prepara la donación y recibe un folio con su QR. La lleva al acopio, donde el Operador escanea el folio, confirma cada línea y la API registra una entrada de inventario por línea (2). Luego el Auditor revisa que lo recibido cuadre con esas entradas y la concilia (5).</w:t>
      </w:r>
    </w:p>
    <w:p>
      <w:r>
        <w:t>Los otros caminos cubren lo que pasa en la práctica:</w:t>
      </w:r>
    </w:p>
    <w:p>
      <w:pPr>
        <w:pStyle w:val="Vineta"/>
      </w:pPr>
      <w:r>
        <w:t xml:space="preserve">•  </w:t>
      </w:r>
      <w:r>
        <w:t>La donación llegó, pero las entradas se registraron sin escanear el folio. El Auditor las vincula después (3), y puede seguir vinculando más mientras esté PENDIENTE (4).</w:t>
      </w:r>
    </w:p>
    <w:p>
      <w:pPr>
        <w:pStyle w:val="Vineta"/>
      </w:pPr>
      <w:r>
        <w:t xml:space="preserve">•  </w:t>
      </w:r>
      <w:r>
        <w:t>Lo recibido no cuadra. El Auditor la rechaza con un motivo y el Donador recibe un correo por la cola de la sección 3 (6). Si el rechazo fue un error, el Auditor lo revierte (7).</w:t>
      </w:r>
    </w:p>
    <w:p>
      <w:pPr>
        <w:pStyle w:val="Vineta"/>
      </w:pPr>
      <w:r>
        <w:t xml:space="preserve">•  </w:t>
      </w:r>
      <w:r>
        <w:t>La donación nunca llegó. El Donador la cancela (8) o, si pasan siete días sin entregarla, la tarea diaria de las 00:15 la cancela sola (9).</w:t>
      </w:r>
    </w:p>
    <w:tbl>
      <w:tblPr>
        <w:tblStyle w:val="Tablaconcuadrcula"/>
        <w:tblW w:type="auto" w:w="0"/>
        <w:jc w:val="center"/>
        <w:tblLook w:firstColumn="1" w:firstRow="1" w:lastColumn="0" w:lastRow="0" w:noHBand="0" w:noVBand="1" w:val="04A0"/>
      </w:tblPr>
      <w:tblGrid>
        <w:gridCol w:w="1837"/>
        <w:gridCol w:w="1837"/>
        <w:gridCol w:w="1837"/>
        <w:gridCol w:w="1837"/>
        <w:gridCol w:w="1837"/>
      </w:tblGrid>
      <w:tr>
        <w:trPr>
          <w:cantSplit w:val="true"/>
          <w:tblHeader w:val="true"/>
        </w:trPr>
        <w:tc>
          <w:tcPr>
            <w:tcW w:type="dxa" w:w="1837"/>
            <w:shd w:val="clear" w:color="auto" w:fill="0F6E6E"/>
          </w:tcPr>
          <w:p>
            <w:pPr>
              <w:spacing w:after="40"/>
              <w:jc w:val="left"/>
            </w:pPr>
            <w:r>
              <w:rPr>
                <w:b/>
                <w:color w:val="FFFFFF"/>
                <w:sz w:val="16"/>
              </w:rPr>
              <w:t>#</w:t>
            </w:r>
          </w:p>
        </w:tc>
        <w:tc>
          <w:tcPr>
            <w:tcW w:type="dxa" w:w="1837"/>
            <w:shd w:val="clear" w:color="auto" w:fill="0F6E6E"/>
          </w:tcPr>
          <w:p>
            <w:pPr>
              <w:spacing w:after="40"/>
              <w:jc w:val="left"/>
            </w:pPr>
            <w:r>
              <w:rPr>
                <w:b/>
                <w:color w:val="FFFFFF"/>
                <w:sz w:val="16"/>
              </w:rPr>
              <w:t>Transición</w:t>
            </w:r>
          </w:p>
        </w:tc>
        <w:tc>
          <w:tcPr>
            <w:tcW w:type="dxa" w:w="1837"/>
            <w:shd w:val="clear" w:color="auto" w:fill="0F6E6E"/>
          </w:tcPr>
          <w:p>
            <w:pPr>
              <w:spacing w:after="40"/>
              <w:jc w:val="left"/>
            </w:pPr>
            <w:r>
              <w:rPr>
                <w:b/>
                <w:color w:val="FFFFFF"/>
                <w:sz w:val="16"/>
              </w:rPr>
              <w:t>Quién</w:t>
            </w:r>
          </w:p>
        </w:tc>
        <w:tc>
          <w:tcPr>
            <w:tcW w:type="dxa" w:w="1837"/>
            <w:shd w:val="clear" w:color="auto" w:fill="0F6E6E"/>
          </w:tcPr>
          <w:p>
            <w:pPr>
              <w:spacing w:after="40"/>
              <w:jc w:val="left"/>
            </w:pPr>
            <w:r>
              <w:rPr>
                <w:b/>
                <w:color w:val="FFFFFF"/>
                <w:sz w:val="16"/>
              </w:rPr>
              <w:t>Guarda que exige la API</w:t>
            </w:r>
          </w:p>
        </w:tc>
        <w:tc>
          <w:tcPr>
            <w:tcW w:type="dxa" w:w="1837"/>
            <w:shd w:val="clear" w:color="auto" w:fill="0F6E6E"/>
          </w:tcPr>
          <w:p>
            <w:pPr>
              <w:spacing w:after="40"/>
              <w:jc w:val="left"/>
            </w:pPr>
            <w:r>
              <w:rPr>
                <w:b/>
                <w:color w:val="FFFFFF"/>
                <w:sz w:val="16"/>
              </w:rPr>
              <w:t>Método</w:t>
            </w:r>
          </w:p>
        </w:tc>
      </w:tr>
      <w:tr>
        <w:trPr>
          <w:cantSplit w:val="true"/>
        </w:trPr>
        <w:tc>
          <w:tcPr>
            <w:tcW w:type="dxa" w:w="1837"/>
          </w:tcPr>
          <w:p>
            <w:pPr>
              <w:spacing w:after="40"/>
              <w:jc w:val="left"/>
            </w:pPr>
            <w:r>
              <w:rPr>
                <w:sz w:val="16"/>
              </w:rPr>
              <w:t>1</w:t>
            </w:r>
          </w:p>
        </w:tc>
        <w:tc>
          <w:tcPr>
            <w:tcW w:type="dxa" w:w="1837"/>
          </w:tcPr>
          <w:p>
            <w:pPr>
              <w:spacing w:after="40"/>
              <w:jc w:val="left"/>
            </w:pPr>
            <w:r>
              <w:rPr>
                <w:sz w:val="16"/>
              </w:rPr>
              <w:t>inicio → PREPARADO</w:t>
            </w:r>
          </w:p>
        </w:tc>
        <w:tc>
          <w:tcPr>
            <w:tcW w:type="dxa" w:w="1837"/>
          </w:tcPr>
          <w:p>
            <w:pPr>
              <w:spacing w:after="40"/>
              <w:jc w:val="left"/>
            </w:pPr>
            <w:r>
              <w:rPr>
                <w:sz w:val="16"/>
              </w:rPr>
              <w:t>Donador</w:t>
            </w:r>
          </w:p>
        </w:tc>
        <w:tc>
          <w:tcPr>
            <w:tcW w:type="dxa" w:w="1837"/>
          </w:tcPr>
          <w:p>
            <w:pPr>
              <w:spacing w:after="40"/>
              <w:jc w:val="left"/>
            </w:pPr>
            <w:r>
              <w:rPr>
                <w:sz w:val="16"/>
              </w:rPr>
              <w:t>El acopio está abierto y el Donador tiene menos de 5 donaciones preparadas</w:t>
            </w:r>
          </w:p>
        </w:tc>
        <w:tc>
          <w:tcPr>
            <w:tcW w:type="dxa" w:w="1837"/>
          </w:tcPr>
          <w:p>
            <w:pPr>
              <w:spacing w:after="40"/>
              <w:jc w:val="left"/>
            </w:pPr>
            <w:r>
              <w:rPr>
                <w:rFonts w:ascii="Consolas" w:hAnsi="Consolas"/>
                <w:sz w:val="13"/>
              </w:rPr>
              <w:t>DonacionesService.crear</w:t>
            </w:r>
          </w:p>
        </w:tc>
      </w:tr>
      <w:tr>
        <w:trPr>
          <w:cantSplit w:val="true"/>
        </w:trPr>
        <w:tc>
          <w:tcPr>
            <w:tcW w:type="dxa" w:w="1837"/>
          </w:tcPr>
          <w:p>
            <w:pPr>
              <w:spacing w:after="40"/>
              <w:jc w:val="left"/>
            </w:pPr>
            <w:r>
              <w:rPr>
                <w:sz w:val="16"/>
              </w:rPr>
              <w:t>2</w:t>
            </w:r>
          </w:p>
        </w:tc>
        <w:tc>
          <w:tcPr>
            <w:tcW w:type="dxa" w:w="1837"/>
          </w:tcPr>
          <w:p>
            <w:pPr>
              <w:spacing w:after="40"/>
              <w:jc w:val="left"/>
            </w:pPr>
            <w:r>
              <w:rPr>
                <w:sz w:val="16"/>
              </w:rPr>
              <w:t>PREPARADO → PENDIENTE</w:t>
            </w:r>
          </w:p>
        </w:tc>
        <w:tc>
          <w:tcPr>
            <w:tcW w:type="dxa" w:w="1837"/>
          </w:tcPr>
          <w:p>
            <w:pPr>
              <w:spacing w:after="40"/>
              <w:jc w:val="left"/>
            </w:pPr>
            <w:r>
              <w:rPr>
                <w:sz w:val="16"/>
              </w:rPr>
              <w:t>Operador</w:t>
            </w:r>
          </w:p>
        </w:tc>
        <w:tc>
          <w:tcPr>
            <w:tcW w:type="dxa" w:w="1837"/>
          </w:tcPr>
          <w:p>
            <w:pPr>
              <w:spacing w:after="40"/>
              <w:jc w:val="left"/>
            </w:pPr>
            <w:r>
              <w:rPr>
                <w:sz w:val="16"/>
              </w:rPr>
              <w:t>Tiene asignado ese acopio y confirma cada línea una vez</w:t>
            </w:r>
          </w:p>
        </w:tc>
        <w:tc>
          <w:tcPr>
            <w:tcW w:type="dxa" w:w="1837"/>
          </w:tcPr>
          <w:p>
            <w:pPr>
              <w:spacing w:after="40"/>
              <w:jc w:val="left"/>
            </w:pPr>
            <w:r>
              <w:rPr>
                <w:rFonts w:ascii="Consolas" w:hAnsi="Consolas"/>
                <w:sz w:val="13"/>
              </w:rPr>
              <w:t>RecepcionService.recibir</w:t>
            </w:r>
          </w:p>
        </w:tc>
      </w:tr>
      <w:tr>
        <w:trPr>
          <w:cantSplit w:val="true"/>
        </w:trPr>
        <w:tc>
          <w:tcPr>
            <w:tcW w:type="dxa" w:w="1837"/>
          </w:tcPr>
          <w:p>
            <w:pPr>
              <w:spacing w:after="40"/>
              <w:jc w:val="left"/>
            </w:pPr>
            <w:r>
              <w:rPr>
                <w:sz w:val="16"/>
              </w:rPr>
              <w:t>3</w:t>
            </w:r>
          </w:p>
        </w:tc>
        <w:tc>
          <w:tcPr>
            <w:tcW w:type="dxa" w:w="1837"/>
          </w:tcPr>
          <w:p>
            <w:pPr>
              <w:spacing w:after="40"/>
              <w:jc w:val="left"/>
            </w:pPr>
            <w:r>
              <w:rPr>
                <w:sz w:val="16"/>
              </w:rPr>
              <w:t>PREPARADO → PENDIENTE</w:t>
            </w:r>
          </w:p>
        </w:tc>
        <w:tc>
          <w:tcPr>
            <w:tcW w:type="dxa" w:w="1837"/>
          </w:tcPr>
          <w:p>
            <w:pPr>
              <w:spacing w:after="40"/>
              <w:jc w:val="left"/>
            </w:pPr>
            <w:r>
              <w:rPr>
                <w:sz w:val="16"/>
              </w:rPr>
              <w:t>Auditor o Admin</w:t>
            </w:r>
          </w:p>
        </w:tc>
        <w:tc>
          <w:tcPr>
            <w:tcW w:type="dxa" w:w="1837"/>
          </w:tcPr>
          <w:p>
            <w:pPr>
              <w:spacing w:after="40"/>
              <w:jc w:val="left"/>
            </w:pPr>
            <w:r>
              <w:rPr>
                <w:sz w:val="16"/>
              </w:rPr>
              <w:t>Las entradas son del mismo acopio y no pertenecen a otra donación</w:t>
            </w:r>
          </w:p>
        </w:tc>
        <w:tc>
          <w:tcPr>
            <w:tcW w:type="dxa" w:w="1837"/>
          </w:tcPr>
          <w:p>
            <w:pPr>
              <w:spacing w:after="40"/>
              <w:jc w:val="left"/>
            </w:pPr>
            <w:r>
              <w:rPr>
                <w:rFonts w:ascii="Consolas" w:hAnsi="Consolas"/>
                <w:sz w:val="13"/>
              </w:rPr>
              <w:t>ConciliacionService.vincular</w:t>
            </w:r>
          </w:p>
        </w:tc>
      </w:tr>
      <w:tr>
        <w:trPr>
          <w:cantSplit w:val="true"/>
        </w:trPr>
        <w:tc>
          <w:tcPr>
            <w:tcW w:type="dxa" w:w="1837"/>
          </w:tcPr>
          <w:p>
            <w:pPr>
              <w:spacing w:after="40"/>
              <w:jc w:val="left"/>
            </w:pPr>
            <w:r>
              <w:rPr>
                <w:sz w:val="16"/>
              </w:rPr>
              <w:t>4</w:t>
            </w:r>
          </w:p>
        </w:tc>
        <w:tc>
          <w:tcPr>
            <w:tcW w:type="dxa" w:w="1837"/>
          </w:tcPr>
          <w:p>
            <w:pPr>
              <w:spacing w:after="40"/>
              <w:jc w:val="left"/>
            </w:pPr>
            <w:r>
              <w:rPr>
                <w:sz w:val="16"/>
              </w:rPr>
              <w:t>PENDIENTE → PENDIENTE</w:t>
            </w:r>
          </w:p>
        </w:tc>
        <w:tc>
          <w:tcPr>
            <w:tcW w:type="dxa" w:w="1837"/>
          </w:tcPr>
          <w:p>
            <w:pPr>
              <w:spacing w:after="40"/>
              <w:jc w:val="left"/>
            </w:pPr>
            <w:r>
              <w:rPr>
                <w:sz w:val="16"/>
              </w:rPr>
              <w:t>Auditor o Admin</w:t>
            </w:r>
          </w:p>
        </w:tc>
        <w:tc>
          <w:tcPr>
            <w:tcW w:type="dxa" w:w="1837"/>
          </w:tcPr>
          <w:p>
            <w:pPr>
              <w:spacing w:after="40"/>
              <w:jc w:val="left"/>
            </w:pPr>
            <w:r>
              <w:rPr>
                <w:sz w:val="16"/>
              </w:rPr>
              <w:t>Igual que 3</w:t>
            </w:r>
          </w:p>
        </w:tc>
        <w:tc>
          <w:tcPr>
            <w:tcW w:type="dxa" w:w="1837"/>
          </w:tcPr>
          <w:p>
            <w:pPr>
              <w:spacing w:after="40"/>
              <w:jc w:val="left"/>
            </w:pPr>
            <w:r>
              <w:rPr>
                <w:rFonts w:ascii="Consolas" w:hAnsi="Consolas"/>
                <w:sz w:val="13"/>
              </w:rPr>
              <w:t>ConciliacionService.vincular</w:t>
            </w:r>
          </w:p>
        </w:tc>
      </w:tr>
      <w:tr>
        <w:trPr>
          <w:cantSplit w:val="true"/>
        </w:trPr>
        <w:tc>
          <w:tcPr>
            <w:tcW w:type="dxa" w:w="1837"/>
          </w:tcPr>
          <w:p>
            <w:pPr>
              <w:spacing w:after="40"/>
              <w:jc w:val="left"/>
            </w:pPr>
            <w:r>
              <w:rPr>
                <w:sz w:val="16"/>
              </w:rPr>
              <w:t>5</w:t>
            </w:r>
          </w:p>
        </w:tc>
        <w:tc>
          <w:tcPr>
            <w:tcW w:type="dxa" w:w="1837"/>
          </w:tcPr>
          <w:p>
            <w:pPr>
              <w:spacing w:after="40"/>
              <w:jc w:val="left"/>
            </w:pPr>
            <w:r>
              <w:rPr>
                <w:sz w:val="16"/>
              </w:rPr>
              <w:t>PENDIENTE → CONCILIADO</w:t>
            </w:r>
          </w:p>
        </w:tc>
        <w:tc>
          <w:tcPr>
            <w:tcW w:type="dxa" w:w="1837"/>
          </w:tcPr>
          <w:p>
            <w:pPr>
              <w:spacing w:after="40"/>
              <w:jc w:val="left"/>
            </w:pPr>
            <w:r>
              <w:rPr>
                <w:sz w:val="16"/>
              </w:rPr>
              <w:t>Auditor o Admin</w:t>
            </w:r>
          </w:p>
        </w:tc>
        <w:tc>
          <w:tcPr>
            <w:tcW w:type="dxa" w:w="1837"/>
          </w:tcPr>
          <w:p>
            <w:pPr>
              <w:spacing w:after="40"/>
              <w:jc w:val="left"/>
            </w:pPr>
            <w:r>
              <w:rPr>
                <w:sz w:val="16"/>
              </w:rPr>
              <w:t>Hay al menos una entrada vinculada</w:t>
            </w:r>
          </w:p>
        </w:tc>
        <w:tc>
          <w:tcPr>
            <w:tcW w:type="dxa" w:w="1837"/>
          </w:tcPr>
          <w:p>
            <w:pPr>
              <w:spacing w:after="40"/>
              <w:jc w:val="left"/>
            </w:pPr>
            <w:r>
              <w:rPr>
                <w:rFonts w:ascii="Consolas" w:hAnsi="Consolas"/>
                <w:sz w:val="13"/>
              </w:rPr>
              <w:t>ConciliacionService.conciliar</w:t>
            </w:r>
          </w:p>
        </w:tc>
      </w:tr>
      <w:tr>
        <w:trPr>
          <w:cantSplit w:val="true"/>
        </w:trPr>
        <w:tc>
          <w:tcPr>
            <w:tcW w:type="dxa" w:w="1837"/>
          </w:tcPr>
          <w:p>
            <w:pPr>
              <w:spacing w:after="40"/>
              <w:jc w:val="left"/>
            </w:pPr>
            <w:r>
              <w:rPr>
                <w:sz w:val="16"/>
              </w:rPr>
              <w:t>6</w:t>
            </w:r>
          </w:p>
        </w:tc>
        <w:tc>
          <w:tcPr>
            <w:tcW w:type="dxa" w:w="1837"/>
          </w:tcPr>
          <w:p>
            <w:pPr>
              <w:spacing w:after="40"/>
              <w:jc w:val="left"/>
            </w:pPr>
            <w:r>
              <w:rPr>
                <w:sz w:val="16"/>
              </w:rPr>
              <w:t>PENDIENTE → RECHAZADO</w:t>
            </w:r>
          </w:p>
        </w:tc>
        <w:tc>
          <w:tcPr>
            <w:tcW w:type="dxa" w:w="1837"/>
          </w:tcPr>
          <w:p>
            <w:pPr>
              <w:spacing w:after="40"/>
              <w:jc w:val="left"/>
            </w:pPr>
            <w:r>
              <w:rPr>
                <w:sz w:val="16"/>
              </w:rPr>
              <w:t>Auditor o Admin</w:t>
            </w:r>
          </w:p>
        </w:tc>
        <w:tc>
          <w:tcPr>
            <w:tcW w:type="dxa" w:w="1837"/>
          </w:tcPr>
          <w:p>
            <w:pPr>
              <w:spacing w:after="40"/>
              <w:jc w:val="left"/>
            </w:pPr>
            <w:r>
              <w:rPr>
                <w:sz w:val="16"/>
              </w:rPr>
              <w:t>Indica un motivo; si el Donador tiene correo, se encola el aviso</w:t>
            </w:r>
          </w:p>
        </w:tc>
        <w:tc>
          <w:tcPr>
            <w:tcW w:type="dxa" w:w="1837"/>
          </w:tcPr>
          <w:p>
            <w:pPr>
              <w:spacing w:after="40"/>
              <w:jc w:val="left"/>
            </w:pPr>
            <w:r>
              <w:rPr>
                <w:rFonts w:ascii="Consolas" w:hAnsi="Consolas"/>
                <w:sz w:val="13"/>
              </w:rPr>
              <w:t>ConciliacionService.rechazar</w:t>
            </w:r>
          </w:p>
        </w:tc>
      </w:tr>
      <w:tr>
        <w:trPr>
          <w:cantSplit w:val="true"/>
        </w:trPr>
        <w:tc>
          <w:tcPr>
            <w:tcW w:type="dxa" w:w="1837"/>
          </w:tcPr>
          <w:p>
            <w:pPr>
              <w:spacing w:after="40"/>
              <w:jc w:val="left"/>
            </w:pPr>
            <w:r>
              <w:rPr>
                <w:sz w:val="16"/>
              </w:rPr>
              <w:t>7</w:t>
            </w:r>
          </w:p>
        </w:tc>
        <w:tc>
          <w:tcPr>
            <w:tcW w:type="dxa" w:w="1837"/>
          </w:tcPr>
          <w:p>
            <w:pPr>
              <w:spacing w:after="40"/>
              <w:jc w:val="left"/>
            </w:pPr>
            <w:r>
              <w:rPr>
                <w:sz w:val="16"/>
              </w:rPr>
              <w:t>RECHAZADO → PENDIENTE</w:t>
            </w:r>
          </w:p>
        </w:tc>
        <w:tc>
          <w:tcPr>
            <w:tcW w:type="dxa" w:w="1837"/>
          </w:tcPr>
          <w:p>
            <w:pPr>
              <w:spacing w:after="40"/>
              <w:jc w:val="left"/>
            </w:pPr>
            <w:r>
              <w:rPr>
                <w:sz w:val="16"/>
              </w:rPr>
              <w:t>Auditor o Admin</w:t>
            </w:r>
          </w:p>
        </w:tc>
        <w:tc>
          <w:tcPr>
            <w:tcW w:type="dxa" w:w="1837"/>
          </w:tcPr>
          <w:p>
            <w:pPr>
              <w:spacing w:after="40"/>
              <w:jc w:val="left"/>
            </w:pPr>
            <w:r>
              <w:rPr>
                <w:sz w:val="16"/>
              </w:rPr>
              <w:t>El acopio está en su alcance</w:t>
            </w:r>
          </w:p>
        </w:tc>
        <w:tc>
          <w:tcPr>
            <w:tcW w:type="dxa" w:w="1837"/>
          </w:tcPr>
          <w:p>
            <w:pPr>
              <w:spacing w:after="40"/>
              <w:jc w:val="left"/>
            </w:pPr>
            <w:r>
              <w:rPr>
                <w:rFonts w:ascii="Consolas" w:hAnsi="Consolas"/>
                <w:sz w:val="13"/>
              </w:rPr>
              <w:t>ConciliacionService.revertirRechazo</w:t>
            </w:r>
          </w:p>
        </w:tc>
      </w:tr>
      <w:tr>
        <w:trPr>
          <w:cantSplit w:val="true"/>
        </w:trPr>
        <w:tc>
          <w:tcPr>
            <w:tcW w:type="dxa" w:w="1837"/>
          </w:tcPr>
          <w:p>
            <w:pPr>
              <w:spacing w:after="40"/>
              <w:jc w:val="left"/>
            </w:pPr>
            <w:r>
              <w:rPr>
                <w:sz w:val="16"/>
              </w:rPr>
              <w:t>8</w:t>
            </w:r>
          </w:p>
        </w:tc>
        <w:tc>
          <w:tcPr>
            <w:tcW w:type="dxa" w:w="1837"/>
          </w:tcPr>
          <w:p>
            <w:pPr>
              <w:spacing w:after="40"/>
              <w:jc w:val="left"/>
            </w:pPr>
            <w:r>
              <w:rPr>
                <w:sz w:val="16"/>
              </w:rPr>
              <w:t>PREPARADO → CANCELADO</w:t>
            </w:r>
          </w:p>
        </w:tc>
        <w:tc>
          <w:tcPr>
            <w:tcW w:type="dxa" w:w="1837"/>
          </w:tcPr>
          <w:p>
            <w:pPr>
              <w:spacing w:after="40"/>
              <w:jc w:val="left"/>
            </w:pPr>
            <w:r>
              <w:rPr>
                <w:sz w:val="16"/>
              </w:rPr>
              <w:t>Donador</w:t>
            </w:r>
          </w:p>
        </w:tc>
        <w:tc>
          <w:tcPr>
            <w:tcW w:type="dxa" w:w="1837"/>
          </w:tcPr>
          <w:p>
            <w:pPr>
              <w:spacing w:after="40"/>
              <w:jc w:val="left"/>
            </w:pPr>
            <w:r>
              <w:rPr>
                <w:sz w:val="16"/>
              </w:rPr>
              <w:t>La donación es suya</w:t>
            </w:r>
          </w:p>
        </w:tc>
        <w:tc>
          <w:tcPr>
            <w:tcW w:type="dxa" w:w="1837"/>
          </w:tcPr>
          <w:p>
            <w:pPr>
              <w:spacing w:after="40"/>
              <w:jc w:val="left"/>
            </w:pPr>
            <w:r>
              <w:rPr>
                <w:rFonts w:ascii="Consolas" w:hAnsi="Consolas"/>
                <w:sz w:val="13"/>
              </w:rPr>
              <w:t>DonacionesService.cancelar</w:t>
            </w:r>
          </w:p>
        </w:tc>
      </w:tr>
      <w:tr>
        <w:trPr>
          <w:cantSplit w:val="true"/>
        </w:trPr>
        <w:tc>
          <w:tcPr>
            <w:tcW w:type="dxa" w:w="1837"/>
          </w:tcPr>
          <w:p>
            <w:pPr>
              <w:spacing w:after="40"/>
              <w:jc w:val="left"/>
            </w:pPr>
            <w:r>
              <w:rPr>
                <w:sz w:val="16"/>
              </w:rPr>
              <w:t>9</w:t>
            </w:r>
          </w:p>
        </w:tc>
        <w:tc>
          <w:tcPr>
            <w:tcW w:type="dxa" w:w="1837"/>
          </w:tcPr>
          <w:p>
            <w:pPr>
              <w:spacing w:after="40"/>
              <w:jc w:val="left"/>
            </w:pPr>
            <w:r>
              <w:rPr>
                <w:sz w:val="16"/>
              </w:rPr>
              <w:t>PREPARADO → CANCELADO</w:t>
            </w:r>
          </w:p>
        </w:tc>
        <w:tc>
          <w:tcPr>
            <w:tcW w:type="dxa" w:w="1837"/>
          </w:tcPr>
          <w:p>
            <w:pPr>
              <w:spacing w:after="40"/>
              <w:jc w:val="left"/>
            </w:pPr>
            <w:r>
              <w:rPr>
                <w:sz w:val="16"/>
              </w:rPr>
              <w:t xml:space="preserve">Tarea </w:t>
            </w:r>
            <w:r>
              <w:rPr>
                <w:rFonts w:ascii="Consolas" w:hAnsi="Consolas"/>
                <w:sz w:val="13"/>
              </w:rPr>
              <w:t>preparadas-vencidas</w:t>
            </w:r>
          </w:p>
        </w:tc>
        <w:tc>
          <w:tcPr>
            <w:tcW w:type="dxa" w:w="1837"/>
          </w:tcPr>
          <w:p>
            <w:pPr>
              <w:spacing w:after="40"/>
              <w:jc w:val="left"/>
            </w:pPr>
            <w:r>
              <w:rPr>
                <w:sz w:val="16"/>
              </w:rPr>
              <w:t>Pasaron 7 días sin entregarla</w:t>
            </w:r>
          </w:p>
        </w:tc>
        <w:tc>
          <w:tcPr>
            <w:tcW w:type="dxa" w:w="1837"/>
          </w:tcPr>
          <w:p>
            <w:pPr>
              <w:spacing w:after="40"/>
              <w:jc w:val="left"/>
            </w:pPr>
            <w:r>
              <w:rPr>
                <w:rFonts w:ascii="Consolas" w:hAnsi="Consolas"/>
                <w:sz w:val="13"/>
              </w:rPr>
              <w:t>TareasCustodiaService.cancelarVencidas</w:t>
            </w:r>
          </w:p>
        </w:tc>
      </w:tr>
    </w:tbl>
    <w:p>
      <w:pPr>
        <w:spacing w:after="40"/>
      </w:pPr>
    </w:p>
    <w:p>
      <w:r>
        <w:t xml:space="preserve">Los límites de 5 preparadas y 7 días son los valores por defecto de </w:t>
      </w:r>
      <w:r>
        <w:rPr>
          <w:rFonts w:ascii="Consolas" w:hAnsi="Consolas"/>
          <w:sz w:val="19"/>
        </w:rPr>
        <w:t>PREPARADAS_MAXIMO</w:t>
      </w:r>
      <w:r>
        <w:t xml:space="preserve"> y </w:t>
      </w:r>
      <w:r>
        <w:rPr>
          <w:rFonts w:ascii="Consolas" w:hAnsi="Consolas"/>
          <w:sz w:val="19"/>
        </w:rPr>
        <w:t>PREPARADA_VIGENCIA_DIAS</w:t>
      </w:r>
      <w:r>
        <w:t xml:space="preserve">. Los métodos viven en </w:t>
      </w:r>
      <w:r>
        <w:rPr>
          <w:rFonts w:ascii="Consolas" w:hAnsi="Consolas"/>
          <w:sz w:val="19"/>
        </w:rPr>
        <w:t>apps/api/src/modulos/comprobantes/</w:t>
      </w:r>
      <w:r>
        <w:t>.</w:t>
      </w:r>
    </w:p>
    <w:p>
      <w:pPr>
        <w:pStyle w:val="Ttulo2"/>
      </w:pPr>
      <w:r>
        <w:t>2d. Dos transiciones a la vez</w:t>
      </w:r>
    </w:p>
    <w:p>
      <w:r>
        <w:t xml:space="preserve">Las flechas 2 y 9 salen del mismo estado y pueden coincidir: el Operador recibe un folio en el mismo minuto en que la tarea diaria lo cancela. Cada cambio de estado exige el estado de origen dentro del mismo </w:t>
      </w:r>
      <w:r>
        <w:rPr>
          <w:rFonts w:ascii="Consolas" w:hAnsi="Consolas"/>
          <w:sz w:val="19"/>
        </w:rPr>
        <w:t>UPDATE</w:t>
      </w:r>
      <w:r>
        <w:t xml:space="preserve"> (</w:t>
      </w:r>
      <w:r>
        <w:rPr>
          <w:rFonts w:ascii="Consolas" w:hAnsi="Consolas"/>
          <w:sz w:val="19"/>
        </w:rPr>
        <w:t>cambiarSiEstado</w:t>
      </w:r>
      <w:r>
        <w:t xml:space="preserve"> del DAO de comprobantes), así que la segunda operación ya no encuentra la fila en PREPARADO y no cambia nada. La donación nunca queda recibida y cancelada al mismo tiempo.</w:t>
      </w:r>
    </w:p>
    <w:p>
      <w:pPr>
        <w:pStyle w:val="Ttulo1"/>
      </w:pPr>
      <w:r>
        <w:t>3. Bonificación: productor y consumidor con la cola de correo</w:t>
      </w:r>
    </w:p>
    <w:p>
      <w:pPr>
        <w:pStyle w:val="Ttulo2"/>
      </w:pPr>
      <w:r>
        <w:t>3a. El problema</w:t>
      </w:r>
    </w:p>
    <w:p>
      <w:r>
        <w:t>Varias operaciones mandan un correo: invitar a un usuario, restablecer una contraseña, confirmar la cuenta de un Donador, avisar que una donación se rechazó y recordar un turno. Si el correo se enviara dentro de la petición, un servidor de correo lento haría esperar a quien invita, y uno caído haría fallar la invitación aunque el usuario ya estuviera creado. Al revés también hay riesgo: si la operación fallara después de enviar, el correo ya habría salido con un enlace que no sirve.</w:t>
      </w:r>
    </w:p>
    <w:p>
      <w:pPr>
        <w:pStyle w:val="Ttulo2"/>
      </w:pPr>
      <w:r>
        <w:t>3b. Componentes y cómo se comunican</w:t>
      </w:r>
    </w:p>
    <w:p>
      <w:pPr>
        <w:sectPr>
          <w:pgSz w:w="11906" w:h="16838"/>
          <w:pgMar w:top="1247" w:right="1361" w:bottom="1134" w:left="1361"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8780689" cy="4896374"/>
            <wp:docPr id="4" name="Picture 4"/>
            <wp:cNvGraphicFramePr>
              <a:graphicFrameLocks noChangeAspect="1"/>
            </wp:cNvGraphicFramePr>
            <a:graphic>
              <a:graphicData uri="http://schemas.openxmlformats.org/drawingml/2006/picture">
                <pic:pic>
                  <pic:nvPicPr>
                    <pic:cNvPr id="0" name="concurrencia-01-cola-de-correo.png"/>
                    <pic:cNvPicPr/>
                  </pic:nvPicPr>
                  <pic:blipFill>
                    <a:blip r:embed="rId30"/>
                    <a:stretch>
                      <a:fillRect/>
                    </a:stretch>
                  </pic:blipFill>
                  <pic:spPr>
                    <a:xfrm>
                      <a:off x="0" y="0"/>
                      <a:ext cx="8780689" cy="4896374"/>
                    </a:xfrm>
                    <a:prstGeom prst="rect"/>
                  </pic:spPr>
                </pic:pic>
              </a:graphicData>
            </a:graphic>
          </wp:inline>
        </w:drawing>
      </w:r>
    </w:p>
    <w:p>
      <w:pPr>
        <w:jc w:val="center"/>
      </w:pPr>
      <w:r>
        <w:rPr>
          <w:b/>
          <w:color w:val="57534E"/>
          <w:sz w:val="18"/>
        </w:rPr>
        <w:t xml:space="preserve">Figura 4. </w:t>
      </w:r>
      <w:r>
        <w:rPr>
          <w:color w:val="57534E"/>
          <w:sz w:val="18"/>
        </w:rPr>
        <w:t>Productores, cola y consumidor: cuatro servicios insertan en correo_saliente dentro de su transacción y responden sin esperar; cada minuto procesarCola envía por Resend y marca cada correo ENVIADO o FALLIDO.</w:t>
      </w:r>
    </w:p>
    <w:p>
      <w:pPr>
        <w:sectPr>
          <w:pgSz w:w="16838" w:h="11906" w:orient="landscape"/>
          <w:pgMar w:top="1247" w:right="1361" w:bottom="1134" w:left="1361" w:header="720" w:footer="720" w:gutter="0"/>
          <w:cols w:space="720"/>
          <w:docGrid w:linePitch="360"/>
        </w:sectPr>
      </w:pPr>
    </w:p>
    <w:p>
      <w:r>
        <w:t xml:space="preserve">Productores y consumidor no se llaman entre sí. Lo único que comparten es la tabla </w:t>
      </w:r>
      <w:r>
        <w:rPr>
          <w:rFonts w:ascii="Consolas" w:hAnsi="Consolas"/>
          <w:sz w:val="19"/>
        </w:rPr>
        <w:t>correo_saliente</w:t>
      </w:r>
      <w:r>
        <w:t>, y por eso trabajan a ritmos distintos: la petición termina a la izquierda de la primera línea punteada del diagrama y el envío ocurre a la derecha, después.</w:t>
      </w:r>
    </w:p>
    <w:tbl>
      <w:tblPr>
        <w:tblStyle w:val="Tablaconcuadrcula"/>
        <w:tblW w:type="auto" w:w="0"/>
        <w:jc w:val="center"/>
        <w:tblLook w:firstColumn="1" w:firstRow="1" w:lastColumn="0" w:lastRow="0" w:noHBand="0" w:noVBand="1" w:val="04A0"/>
      </w:tblPr>
      <w:tblGrid>
        <w:gridCol w:w="3061"/>
        <w:gridCol w:w="3061"/>
        <w:gridCol w:w="3061"/>
      </w:tblGrid>
      <w:tr>
        <w:trPr>
          <w:cantSplit w:val="true"/>
          <w:tblHeader w:val="true"/>
        </w:trPr>
        <w:tc>
          <w:tcPr>
            <w:tcW w:type="dxa" w:w="3061"/>
            <w:shd w:val="clear" w:color="auto" w:fill="0F6E6E"/>
          </w:tcPr>
          <w:p>
            <w:pPr>
              <w:spacing w:after="40"/>
              <w:jc w:val="left"/>
            </w:pPr>
            <w:r>
              <w:rPr>
                <w:b/>
                <w:color w:val="FFFFFF"/>
                <w:sz w:val="16"/>
              </w:rPr>
              <w:t>Componente</w:t>
            </w:r>
          </w:p>
        </w:tc>
        <w:tc>
          <w:tcPr>
            <w:tcW w:type="dxa" w:w="3061"/>
            <w:shd w:val="clear" w:color="auto" w:fill="0F6E6E"/>
          </w:tcPr>
          <w:p>
            <w:pPr>
              <w:spacing w:after="40"/>
              <w:jc w:val="left"/>
            </w:pPr>
            <w:r>
              <w:rPr>
                <w:b/>
                <w:color w:val="FFFFFF"/>
                <w:sz w:val="16"/>
              </w:rPr>
              <w:t>Papel</w:t>
            </w:r>
          </w:p>
        </w:tc>
        <w:tc>
          <w:tcPr>
            <w:tcW w:type="dxa" w:w="3061"/>
            <w:shd w:val="clear" w:color="auto" w:fill="0F6E6E"/>
          </w:tcPr>
          <w:p>
            <w:pPr>
              <w:spacing w:after="40"/>
              <w:jc w:val="left"/>
            </w:pPr>
            <w:r>
              <w:rPr>
                <w:b/>
                <w:color w:val="FFFFFF"/>
                <w:sz w:val="16"/>
              </w:rPr>
              <w:t>Dónde está en el código</w:t>
            </w:r>
          </w:p>
        </w:tc>
      </w:tr>
      <w:tr>
        <w:trPr>
          <w:cantSplit w:val="true"/>
        </w:trPr>
        <w:tc>
          <w:tcPr>
            <w:tcW w:type="dxa" w:w="3061"/>
          </w:tcPr>
          <w:p>
            <w:pPr>
              <w:spacing w:after="40"/>
              <w:jc w:val="left"/>
            </w:pPr>
            <w:r>
              <w:rPr>
                <w:rFonts w:ascii="Consolas" w:hAnsi="Consolas"/>
                <w:sz w:val="13"/>
              </w:rPr>
              <w:t>UsuariosService</w:t>
            </w:r>
            <w:r>
              <w:rPr>
                <w:sz w:val="16"/>
              </w:rPr>
              <w:t xml:space="preserve">, </w:t>
            </w:r>
            <w:r>
              <w:rPr>
                <w:rFonts w:ascii="Consolas" w:hAnsi="Consolas"/>
                <w:sz w:val="13"/>
              </w:rPr>
              <w:t>DonadorService</w:t>
            </w:r>
            <w:r>
              <w:rPr>
                <w:sz w:val="16"/>
              </w:rPr>
              <w:t xml:space="preserve">, </w:t>
            </w:r>
            <w:r>
              <w:rPr>
                <w:rFonts w:ascii="Consolas" w:hAnsi="Consolas"/>
                <w:sz w:val="13"/>
              </w:rPr>
              <w:t>ConciliacionService</w:t>
            </w:r>
            <w:r>
              <w:rPr>
                <w:sz w:val="16"/>
              </w:rPr>
              <w:t xml:space="preserve"> y los avisos de </w:t>
            </w:r>
            <w:r>
              <w:rPr>
                <w:rFonts w:ascii="Consolas" w:hAnsi="Consolas"/>
                <w:sz w:val="13"/>
              </w:rPr>
              <w:t>turnos</w:t>
            </w:r>
          </w:p>
        </w:tc>
        <w:tc>
          <w:tcPr>
            <w:tcW w:type="dxa" w:w="3061"/>
          </w:tcPr>
          <w:p>
            <w:pPr>
              <w:spacing w:after="40"/>
              <w:jc w:val="left"/>
            </w:pPr>
            <w:r>
              <w:rPr>
                <w:sz w:val="16"/>
              </w:rPr>
              <w:t xml:space="preserve">Productores. Llaman a </w:t>
            </w:r>
            <w:r>
              <w:rPr>
                <w:rFonts w:ascii="Consolas" w:hAnsi="Consolas"/>
                <w:sz w:val="13"/>
              </w:rPr>
              <w:t>NotificacionService.encolar</w:t>
            </w:r>
            <w:r>
              <w:rPr>
                <w:sz w:val="16"/>
              </w:rPr>
              <w:t xml:space="preserve"> dentro de la transacción de su operación: si la operación se deshace, el correo tampoco queda</w:t>
            </w:r>
          </w:p>
        </w:tc>
        <w:tc>
          <w:tcPr>
            <w:tcW w:type="dxa" w:w="3061"/>
          </w:tcPr>
          <w:p>
            <w:pPr>
              <w:spacing w:after="40"/>
              <w:jc w:val="left"/>
            </w:pPr>
            <w:r>
              <w:rPr>
                <w:rFonts w:ascii="Consolas" w:hAnsi="Consolas"/>
                <w:sz w:val="13"/>
              </w:rPr>
              <w:t>notificacion.service.ts</w:t>
            </w:r>
            <w:r>
              <w:rPr>
                <w:sz w:val="16"/>
              </w:rPr>
              <w:t xml:space="preserve">, método </w:t>
            </w:r>
            <w:r>
              <w:rPr>
                <w:rFonts w:ascii="Consolas" w:hAnsi="Consolas"/>
                <w:sz w:val="13"/>
              </w:rPr>
              <w:t>encolar</w:t>
            </w:r>
            <w:r>
              <w:rPr>
                <w:sz w:val="16"/>
              </w:rPr>
              <w:t xml:space="preserve"> (línea 56); un uso en </w:t>
            </w:r>
            <w:r>
              <w:rPr>
                <w:rFonts w:ascii="Consolas" w:hAnsi="Consolas"/>
                <w:sz w:val="13"/>
              </w:rPr>
              <w:t>identidad/usuarios/usuarios.service.ts</w:t>
            </w:r>
            <w:r>
              <w:rPr>
                <w:sz w:val="16"/>
              </w:rPr>
              <w:t>, línea 131</w:t>
            </w:r>
          </w:p>
        </w:tc>
      </w:tr>
      <w:tr>
        <w:trPr>
          <w:cantSplit w:val="true"/>
        </w:trPr>
        <w:tc>
          <w:tcPr>
            <w:tcW w:type="dxa" w:w="3061"/>
          </w:tcPr>
          <w:p>
            <w:pPr>
              <w:spacing w:after="40"/>
              <w:jc w:val="left"/>
            </w:pPr>
            <w:r>
              <w:rPr>
                <w:sz w:val="16"/>
              </w:rPr>
              <w:t xml:space="preserve">Tabla </w:t>
            </w:r>
            <w:r>
              <w:rPr>
                <w:rFonts w:ascii="Consolas" w:hAnsi="Consolas"/>
                <w:sz w:val="13"/>
              </w:rPr>
              <w:t>correo_saliente</w:t>
            </w:r>
          </w:p>
        </w:tc>
        <w:tc>
          <w:tcPr>
            <w:tcW w:type="dxa" w:w="3061"/>
          </w:tcPr>
          <w:p>
            <w:pPr>
              <w:spacing w:after="40"/>
              <w:jc w:val="left"/>
            </w:pPr>
            <w:r>
              <w:rPr>
                <w:sz w:val="16"/>
              </w:rPr>
              <w:t xml:space="preserve">Cola. Guarda el estado (PENDIENTE, ENVIADO o FALLIDO), los intentos, el último error y </w:t>
            </w:r>
            <w:r>
              <w:rPr>
                <w:rFonts w:ascii="Consolas" w:hAnsi="Consolas"/>
                <w:sz w:val="13"/>
              </w:rPr>
              <w:t>enviar_despues_de</w:t>
            </w:r>
            <w:r>
              <w:rPr>
                <w:sz w:val="16"/>
              </w:rPr>
              <w:t>. Tiene un índice por estado y fecha, que es la consulta del consumidor</w:t>
            </w:r>
          </w:p>
        </w:tc>
        <w:tc>
          <w:tcPr>
            <w:tcW w:type="dxa" w:w="3061"/>
          </w:tcPr>
          <w:p>
            <w:pPr>
              <w:spacing w:after="40"/>
              <w:jc w:val="left"/>
            </w:pPr>
            <w:r>
              <w:rPr>
                <w:sz w:val="16"/>
              </w:rPr>
              <w:t xml:space="preserve">Modelo </w:t>
            </w:r>
            <w:r>
              <w:rPr>
                <w:rFonts w:ascii="Consolas" w:hAnsi="Consolas"/>
                <w:sz w:val="13"/>
              </w:rPr>
              <w:t>CorreoSaliente</w:t>
            </w:r>
            <w:r>
              <w:rPr>
                <w:sz w:val="16"/>
              </w:rPr>
              <w:t xml:space="preserve"> en </w:t>
            </w:r>
            <w:r>
              <w:rPr>
                <w:rFonts w:ascii="Consolas" w:hAnsi="Consolas"/>
                <w:sz w:val="13"/>
              </w:rPr>
              <w:t>prisma/schema.prisma</w:t>
            </w:r>
            <w:r>
              <w:rPr>
                <w:sz w:val="16"/>
              </w:rPr>
              <w:t xml:space="preserve">; consultas en </w:t>
            </w:r>
            <w:r>
              <w:rPr>
                <w:rFonts w:ascii="Consolas" w:hAnsi="Consolas"/>
                <w:sz w:val="13"/>
              </w:rPr>
              <w:t>notificaciones/dao/correo-saliente.dao.ts</w:t>
            </w:r>
          </w:p>
        </w:tc>
      </w:tr>
      <w:tr>
        <w:trPr>
          <w:cantSplit w:val="true"/>
        </w:trPr>
        <w:tc>
          <w:tcPr>
            <w:tcW w:type="dxa" w:w="3061"/>
          </w:tcPr>
          <w:p>
            <w:pPr>
              <w:spacing w:after="40"/>
              <w:jc w:val="left"/>
            </w:pPr>
            <w:r>
              <w:rPr>
                <w:rFonts w:ascii="Consolas" w:hAnsi="Consolas"/>
                <w:sz w:val="13"/>
              </w:rPr>
              <w:t>NotificacionService.procesarCola</w:t>
            </w:r>
          </w:p>
        </w:tc>
        <w:tc>
          <w:tcPr>
            <w:tcW w:type="dxa" w:w="3061"/>
          </w:tcPr>
          <w:p>
            <w:pPr>
              <w:spacing w:after="40"/>
              <w:jc w:val="left"/>
            </w:pPr>
            <w:r>
              <w:rPr>
                <w:sz w:val="16"/>
              </w:rPr>
              <w:t>Consumidor. Corre cada minuto (</w:t>
            </w:r>
            <w:r>
              <w:rPr>
                <w:rFonts w:ascii="Consolas" w:hAnsi="Consolas"/>
                <w:sz w:val="13"/>
              </w:rPr>
              <w:t>@Cron</w:t>
            </w:r>
            <w:r>
              <w:rPr>
                <w:sz w:val="16"/>
              </w:rPr>
              <w:t>), toma hasta 50 correos listos del más viejo al más nuevo y los envía</w:t>
            </w:r>
          </w:p>
        </w:tc>
        <w:tc>
          <w:tcPr>
            <w:tcW w:type="dxa" w:w="3061"/>
          </w:tcPr>
          <w:p>
            <w:pPr>
              <w:spacing w:after="40"/>
              <w:jc w:val="left"/>
            </w:pPr>
            <w:r>
              <w:rPr>
                <w:rFonts w:ascii="Consolas" w:hAnsi="Consolas"/>
                <w:sz w:val="13"/>
              </w:rPr>
              <w:t>notificacion.service.ts</w:t>
            </w:r>
            <w:r>
              <w:rPr>
                <w:sz w:val="16"/>
              </w:rPr>
              <w:t xml:space="preserve">, </w:t>
            </w:r>
            <w:r>
              <w:rPr>
                <w:rFonts w:ascii="Consolas" w:hAnsi="Consolas"/>
                <w:sz w:val="13"/>
              </w:rPr>
              <w:t>procesarCola</w:t>
            </w:r>
            <w:r>
              <w:rPr>
                <w:sz w:val="16"/>
              </w:rPr>
              <w:t xml:space="preserve"> (líneas 62 a 79) y </w:t>
            </w:r>
            <w:r>
              <w:rPr>
                <w:rFonts w:ascii="Consolas" w:hAnsi="Consolas"/>
                <w:sz w:val="13"/>
              </w:rPr>
              <w:t>enviar</w:t>
            </w:r>
            <w:r>
              <w:rPr>
                <w:sz w:val="16"/>
              </w:rPr>
              <w:t xml:space="preserve"> (81 a 114)</w:t>
            </w:r>
          </w:p>
        </w:tc>
      </w:tr>
      <w:tr>
        <w:trPr>
          <w:cantSplit w:val="true"/>
        </w:trPr>
        <w:tc>
          <w:tcPr>
            <w:tcW w:type="dxa" w:w="3061"/>
          </w:tcPr>
          <w:p>
            <w:pPr>
              <w:spacing w:after="40"/>
              <w:jc w:val="left"/>
            </w:pPr>
            <w:r>
              <w:rPr>
                <w:sz w:val="16"/>
              </w:rPr>
              <w:t>Resend</w:t>
            </w:r>
          </w:p>
        </w:tc>
        <w:tc>
          <w:tcPr>
            <w:tcW w:type="dxa" w:w="3061"/>
          </w:tcPr>
          <w:p>
            <w:pPr>
              <w:spacing w:after="40"/>
              <w:jc w:val="left"/>
            </w:pPr>
            <w:r>
              <w:rPr>
                <w:sz w:val="16"/>
              </w:rPr>
              <w:t>Servidor de correo, por SMTP (</w:t>
            </w:r>
            <w:r>
              <w:rPr>
                <w:rFonts w:ascii="Consolas" w:hAnsi="Consolas"/>
                <w:sz w:val="13"/>
              </w:rPr>
              <w:t>smtp.resend.com</w:t>
            </w:r>
            <w:r>
              <w:rPr>
                <w:sz w:val="16"/>
              </w:rPr>
              <w:t>, puerto 465 con TLS). La API no usa el SDK de Resend: cambiar de proveedor es cambiar variables</w:t>
            </w:r>
          </w:p>
        </w:tc>
        <w:tc>
          <w:tcPr>
            <w:tcW w:type="dxa" w:w="3061"/>
          </w:tcPr>
          <w:p>
            <w:pPr>
              <w:spacing w:after="40"/>
              <w:jc w:val="left"/>
            </w:pPr>
            <w:r>
              <w:rPr>
                <w:rFonts w:ascii="Consolas" w:hAnsi="Consolas"/>
                <w:sz w:val="13"/>
              </w:rPr>
              <w:t>.env.example</w:t>
            </w:r>
            <w:r>
              <w:rPr>
                <w:sz w:val="16"/>
              </w:rPr>
              <w:t xml:space="preserve"> y P-055</w:t>
            </w:r>
          </w:p>
        </w:tc>
      </w:tr>
    </w:tbl>
    <w:p>
      <w:pPr>
        <w:spacing w:after="40"/>
      </w:pPr>
    </w:p>
    <w:p>
      <w:r>
        <w:t>Cuando un envío falla, el consumidor marca el correo FALLIDO y le pone una espera que se duplica en cada intento (1, 2, 4, 8 minutos, hasta 2 horas). Cuando pasa esa espera vuelve a estar listo, y después de 8 intentos se deja de reintentar.</w:t>
      </w:r>
    </w:p>
    <w:p>
      <w:pPr>
        <w:pStyle w:val="Ttulo2"/>
      </w:pPr>
      <w:r>
        <w:t>3c. Evidencia de funcionamiento</w:t>
      </w:r>
    </w:p>
    <w:p>
      <w:pPr>
        <w:pStyle w:val="Vineta"/>
      </w:pPr>
      <w:r>
        <w:t xml:space="preserve">•  </w:t>
      </w:r>
      <w:r>
        <w:t>Pruebas de integración contra PostgreSQL (</w:t>
      </w:r>
      <w:r>
        <w:rPr>
          <w:rFonts w:ascii="Consolas" w:hAnsi="Consolas"/>
          <w:sz w:val="19"/>
        </w:rPr>
        <w:t>src/pruebas-integracion/notificaciones.int.test.ts</w:t>
      </w:r>
      <w:r>
        <w:t xml:space="preserve">): con el servidor de correo arriba el correo queda ENVIADO; con el servidor caído queda FALLIDO, espera y sale solo cuando el servidor vuelve; después del máximo de intentos no se reintenta; y con </w:t>
      </w:r>
      <w:r>
        <w:rPr>
          <w:rFonts w:ascii="Consolas" w:hAnsi="Consolas"/>
          <w:sz w:val="19"/>
        </w:rPr>
        <w:t>CORREO_ACTIVO=false</w:t>
      </w:r>
      <w:r>
        <w:t xml:space="preserve"> no se encola nada.</w:t>
      </w:r>
    </w:p>
    <w:p>
      <w:pPr>
        <w:pStyle w:val="Vineta"/>
      </w:pPr>
      <w:r>
        <w:t xml:space="preserve">•  </w:t>
      </w:r>
      <w:r>
        <w:t xml:space="preserve">Prueba real con Resend el 30 de octubre, en la API local. Un registro de Donador para </w:t>
      </w:r>
      <w:r>
        <w:rPr>
          <w:rFonts w:ascii="Consolas" w:hAnsi="Consolas"/>
          <w:sz w:val="19"/>
        </w:rPr>
        <w:t>contacto@josephqaz.dev</w:t>
      </w:r>
      <w:r>
        <w:t xml:space="preserve"> respondió 202 de inmediato y dejó el correo de confirmación en la cola a las 05:50:11. El consumidor lo tomó en su siguiente pasada y Resend lo aceptó a las 05:51:01, en el primer intento. El correo llegó a la bandeja desde </w:t>
      </w:r>
      <w:r>
        <w:rPr>
          <w:rFonts w:ascii="Consolas" w:hAnsi="Consolas"/>
          <w:sz w:val="19"/>
        </w:rPr>
        <w:t>no-reply@josephqaz.dev</w:t>
      </w:r>
      <w:r>
        <w:t>.</w:t>
      </w:r>
    </w:p>
    <w:p>
      <w:pPr>
        <w:keepNext/>
        <w:spacing w:after="40"/>
        <w:jc w:val="center"/>
      </w:pPr>
      <w:r>
        <w:drawing>
          <wp:inline xmlns:a="http://schemas.openxmlformats.org/drawingml/2006/main" xmlns:pic="http://schemas.openxmlformats.org/drawingml/2006/picture">
            <wp:extent cx="5831840" cy="1380579"/>
            <wp:docPr id="5" name="Picture 5"/>
            <wp:cNvGraphicFramePr>
              <a:graphicFrameLocks noChangeAspect="1"/>
            </wp:cNvGraphicFramePr>
            <a:graphic>
              <a:graphicData uri="http://schemas.openxmlformats.org/drawingml/2006/picture">
                <pic:pic>
                  <pic:nvPicPr>
                    <pic:cNvPr id="0" name="correo-saliente-enviado.png"/>
                    <pic:cNvPicPr/>
                  </pic:nvPicPr>
                  <pic:blipFill>
                    <a:blip r:embed="rId31"/>
                    <a:stretch>
                      <a:fillRect/>
                    </a:stretch>
                  </pic:blipFill>
                  <pic:spPr>
                    <a:xfrm>
                      <a:off x="0" y="0"/>
                      <a:ext cx="5831840" cy="1380579"/>
                    </a:xfrm>
                    <a:prstGeom prst="rect"/>
                  </pic:spPr>
                </pic:pic>
              </a:graphicData>
            </a:graphic>
          </wp:inline>
        </w:drawing>
      </w:r>
    </w:p>
    <w:p>
      <w:pPr>
        <w:jc w:val="center"/>
      </w:pPr>
      <w:r>
        <w:rPr>
          <w:b/>
          <w:color w:val="57534E"/>
          <w:sz w:val="18"/>
        </w:rPr>
        <w:t xml:space="preserve">Figura 5. </w:t>
      </w:r>
      <w:r>
        <w:rPr>
          <w:color w:val="57534E"/>
          <w:sz w:val="18"/>
        </w:rPr>
        <w:t>La fila de correo_saliente después del envío: estado ENVIADO, un intento y sin error.</w:t>
      </w:r>
    </w:p>
    <w:p>
      <w:r>
        <w:t xml:space="preserve">El correo de confirmación en la bandeja de </w:t>
      </w:r>
      <w:r>
        <w:rPr>
          <w:rFonts w:ascii="Consolas" w:hAnsi="Consolas"/>
          <w:sz w:val="19"/>
        </w:rPr>
        <w:t>contacto@josephqaz.dev</w:t>
      </w:r>
      <w:r>
        <w:t>, con el enlace para confirmar la cuenta:</w:t>
      </w:r>
    </w:p>
    <w:p>
      <w:pPr>
        <w:keepNext/>
        <w:spacing w:after="40"/>
        <w:jc w:val="center"/>
      </w:pPr>
      <w:r>
        <w:drawing>
          <wp:inline xmlns:a="http://schemas.openxmlformats.org/drawingml/2006/main" xmlns:pic="http://schemas.openxmlformats.org/drawingml/2006/picture">
            <wp:extent cx="5831840" cy="2226568"/>
            <wp:docPr id="6" name="Picture 6"/>
            <wp:cNvGraphicFramePr>
              <a:graphicFrameLocks noChangeAspect="1"/>
            </wp:cNvGraphicFramePr>
            <a:graphic>
              <a:graphicData uri="http://schemas.openxmlformats.org/drawingml/2006/picture">
                <pic:pic>
                  <pic:nvPicPr>
                    <pic:cNvPr id="0" name="resend-bandeja.png"/>
                    <pic:cNvPicPr/>
                  </pic:nvPicPr>
                  <pic:blipFill>
                    <a:blip r:embed="rId32"/>
                    <a:stretch>
                      <a:fillRect/>
                    </a:stretch>
                  </pic:blipFill>
                  <pic:spPr>
                    <a:xfrm>
                      <a:off x="0" y="0"/>
                      <a:ext cx="5831840" cy="2226568"/>
                    </a:xfrm>
                    <a:prstGeom prst="rect"/>
                  </pic:spPr>
                </pic:pic>
              </a:graphicData>
            </a:graphic>
          </wp:inline>
        </w:drawing>
      </w:r>
    </w:p>
    <w:p>
      <w:pPr>
        <w:jc w:val="center"/>
      </w:pPr>
      <w:r>
        <w:rPr>
          <w:b/>
          <w:color w:val="57534E"/>
          <w:sz w:val="18"/>
        </w:rPr>
        <w:t xml:space="preserve">Figura 6. </w:t>
      </w:r>
      <w:r>
        <w:rPr>
          <w:color w:val="57534E"/>
          <w:sz w:val="18"/>
        </w:rPr>
        <w:t>El correo «Confirma tu correo en Acopio» recibido desde no-reply@josephqaz.dev.</w:t>
      </w:r>
    </w:p>
    <w:p>
      <w:pPr>
        <w:pStyle w:val="Ttulo2"/>
      </w:pPr>
      <w:r>
        <w:t>3d. Limitaciones y fallos considerados</w:t>
      </w:r>
    </w:p>
    <w:p>
      <w:pPr>
        <w:pStyle w:val="Vineta"/>
      </w:pPr>
      <w:r>
        <w:t xml:space="preserve">•  </w:t>
      </w:r>
      <w:r>
        <w:t>Servidor de correo caído o lento: es el caso que la cola resuelve. La operación no se entera y el correo se reintenta solo, y una prueba de integración lo cubre.</w:t>
      </w:r>
    </w:p>
    <w:p>
      <w:pPr>
        <w:pStyle w:val="Vineta"/>
      </w:pPr>
      <w:r>
        <w:t xml:space="preserve">•  </w:t>
      </w:r>
      <w:r>
        <w:t xml:space="preserve">Dos consumidores a la vez: la bandera </w:t>
      </w:r>
      <w:r>
        <w:rPr>
          <w:rFonts w:ascii="Consolas" w:hAnsi="Consolas"/>
          <w:sz w:val="19"/>
        </w:rPr>
        <w:t>procesando</w:t>
      </w:r>
      <w:r>
        <w:t xml:space="preserve"> evita que un lote empiece antes de que termine el anterior, pero solo dentro de una instancia de la API. Con dos instancias, las dos leerían las mismas filas y el correo saldría dos veces. Hoy corre una sola. El arreglo es reclamar el lote con </w:t>
      </w:r>
      <w:r>
        <w:rPr>
          <w:rFonts w:ascii="Consolas" w:hAnsi="Consolas"/>
          <w:sz w:val="19"/>
        </w:rPr>
        <w:t>SELECT … FOR UPDATE SKIP LOCKED</w:t>
      </w:r>
      <w:r>
        <w:t xml:space="preserve">, y quedó anotado como </w:t>
      </w:r>
      <w:r>
        <w:t>P-089</w:t>
      </w:r>
      <w:r>
        <w:t>.</w:t>
      </w:r>
    </w:p>
    <w:p>
      <w:pPr>
        <w:pStyle w:val="Vineta"/>
      </w:pPr>
      <w:r>
        <w:t xml:space="preserve">•  </w:t>
      </w:r>
      <w:r>
        <w:t>Caída entre enviar y marcar: si la API se cae después de que Resend acepta el correo y antes de marcarlo ENVIADO, el siguiente lote lo vuelve a enviar. La entrega es «al menos una vez»; para una invitación, un correo repetido es preferible a uno perdido.</w:t>
      </w:r>
    </w:p>
    <w:p>
      <w:pPr>
        <w:pStyle w:val="Vineta"/>
      </w:pPr>
      <w:r>
        <w:t xml:space="preserve">•  </w:t>
      </w:r>
      <w:r>
        <w:t>Hasta un minuto de espera, porque el consumidor corre cada minuto.</w:t>
      </w:r>
    </w:p>
    <w:sectPr w:rsidR="00E2301E" w:rsidRPr="00473CB5" w:rsidSect="00034616">
      <w:pgSz w:w="11906" w:h="16838"/>
      <w:pgMar w:top="1247" w:right="1361" w:bottom="1134" w:left="136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JUAN PABLO BUSTAMANTE MORENO" w:date="2026-09-09T18:47:00Z" w:initials="JM">
    <w:p w14:paraId="3ED0B8BE" w14:textId="1A6D481D" w:rsidR="00000000" w:rsidRDefault="00000000">
      <w:r>
        <w:annotationRef/>
      </w:r>
      <w:r w:rsidRPr="06668264">
        <w:t>Los 5 hechos observables están muy bien; puede que haga falta indicar cuál es el problema general, en un párrafo. Da la impresión de que son 5 problemas.</w:t>
      </w:r>
    </w:p>
  </w:comment>
  <w:comment w:id="15" w:author="JUAN PABLO BUSTAMANTE MORENO" w:date="2026-09-09T18:54:00Z" w:initials="JM">
    <w:p w14:paraId="348525C2" w14:textId="4F1BC8CB" w:rsidR="00000000" w:rsidRDefault="00000000">
      <w:r>
        <w:annotationRef/>
      </w:r>
      <w:r w:rsidRPr="6D35AA9E">
        <w:t>Podría ser más llamativo el nombre.</w:t>
      </w:r>
    </w:p>
  </w:comment>
  <w:comment w:id="22" w:author="JUAN PABLO BUSTAMANTE MORENO" w:date="2026-09-09T19:03:00Z" w:initials="JM">
    <w:p w14:paraId="39EC59E6" w14:textId="047CDCB4" w:rsidR="00000000" w:rsidRDefault="00000000">
      <w:r>
        <w:annotationRef/>
      </w:r>
      <w:r w:rsidRPr="4A529F6C">
        <w:t>Ok, en general el documento está muy bien. No hay cosas de fondo por corregir, solo de forma (que ya fueron señaladas). Buen trabajo.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D0B8BE" w15:done="0"/>
  <w15:commentEx w15:paraId="348525C2" w15:done="0"/>
  <w15:commentEx w15:paraId="39EC59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EC9D5A" w16cex:dateUtc="2026-09-09T23:47:00Z">
    <w16cex:extLst>
      <w16:ext w16:uri="{CE6994B0-6A32-4C9F-8C6B-6E91EDA988CE}">
        <cr:reactions xmlns:cr="http://schemas.microsoft.com/office/comments/2020/reactions">
          <cr:reaction reactionType="1">
            <cr:reactionInfo dateUtc="2026-09-11T15:13:21Z">
              <cr:user userId="S::jdrhomandtb@itc.edu.co::17e7cf1a-94c6-4edf-b2e1-9604c33e8e3b" userProvider="AD" userName="JOSEPH DANIEL RHOMANDT BERMUDEZ"/>
            </cr:reactionInfo>
          </cr:reaction>
        </cr:reactions>
      </w16:ext>
    </w16cex:extLst>
  </w16cex:commentExtensible>
  <w16cex:commentExtensible w16cex:durableId="5A168199" w16cex:dateUtc="2026-09-09T23:54:00Z"/>
  <w16cex:commentExtensible w16cex:durableId="440A21FB" w16cex:dateUtc="2026-09-10T0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D0B8BE" w16cid:durableId="11EC9D5A"/>
  <w16cid:commentId w16cid:paraId="348525C2" w16cid:durableId="5A168199"/>
  <w16cid:commentId w16cid:paraId="39EC59E6" w16cid:durableId="440A21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F7E23" w14:textId="77777777" w:rsidR="006937EE" w:rsidRPr="00473CB5" w:rsidRDefault="006937EE">
      <w:pPr>
        <w:spacing w:after="0" w:line="240" w:lineRule="auto"/>
      </w:pPr>
      <w:r w:rsidRPr="00473CB5">
        <w:separator/>
      </w:r>
    </w:p>
  </w:endnote>
  <w:endnote w:type="continuationSeparator" w:id="0">
    <w:p w14:paraId="7BCE3E91" w14:textId="77777777" w:rsidR="006937EE" w:rsidRPr="00473CB5" w:rsidRDefault="006937EE">
      <w:pPr>
        <w:spacing w:after="0" w:line="240" w:lineRule="auto"/>
      </w:pPr>
      <w:r w:rsidRPr="00473C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2F54" w14:textId="77777777" w:rsidR="00E2301E" w:rsidRPr="00473CB5" w:rsidRDefault="00000000">
    <w:pPr>
      <w:pStyle w:val="Piedepgina"/>
      <w:jc w:val="center"/>
    </w:pPr>
    <w:r w:rsidRPr="00473CB5">
      <w:rPr>
        <w:rFonts w:ascii="Segoe UI" w:eastAsia="Segoe UI" w:hAnsi="Segoe UI" w:cs="Segoe UI"/>
        <w:color w:val="A8A29E"/>
        <w:sz w:val="17"/>
      </w:rPr>
      <w:fldChar w:fldCharType="begin"/>
    </w:r>
    <w:r w:rsidRPr="00473CB5">
      <w:rPr>
        <w:rFonts w:ascii="Segoe UI" w:eastAsia="Segoe UI" w:hAnsi="Segoe UI" w:cs="Segoe UI"/>
        <w:color w:val="A8A29E"/>
        <w:sz w:val="17"/>
      </w:rPr>
      <w:instrText xml:space="preserve"> PAGE </w:instrText>
    </w:r>
    <w:r w:rsidRPr="00473CB5">
      <w:rPr>
        <w:rFonts w:ascii="Segoe UI" w:eastAsia="Segoe UI" w:hAnsi="Segoe UI" w:cs="Segoe UI"/>
        <w:color w:val="A8A29E"/>
        <w:sz w:val="17"/>
      </w:rPr>
      <w:fldChar w:fldCharType="separate"/>
    </w:r>
    <w:r w:rsidR="00FA7431" w:rsidRPr="00473CB5">
      <w:rPr>
        <w:rFonts w:ascii="Segoe UI" w:eastAsia="Segoe UI" w:hAnsi="Segoe UI" w:cs="Segoe UI"/>
        <w:color w:val="A8A29E"/>
        <w:sz w:val="17"/>
      </w:rPr>
      <w:t>1</w:t>
    </w:r>
    <w:r w:rsidRPr="00473CB5">
      <w:rPr>
        <w:rFonts w:ascii="Segoe UI" w:eastAsia="Segoe UI" w:hAnsi="Segoe UI" w:cs="Segoe UI"/>
        <w:color w:val="A8A29E"/>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EF0E7" w14:textId="77777777" w:rsidR="006937EE" w:rsidRPr="00473CB5" w:rsidRDefault="006937EE">
      <w:pPr>
        <w:spacing w:after="0" w:line="240" w:lineRule="auto"/>
      </w:pPr>
      <w:r w:rsidRPr="00473CB5">
        <w:separator/>
      </w:r>
    </w:p>
  </w:footnote>
  <w:footnote w:type="continuationSeparator" w:id="0">
    <w:p w14:paraId="036031DE" w14:textId="77777777" w:rsidR="006937EE" w:rsidRPr="00473CB5" w:rsidRDefault="006937EE">
      <w:pPr>
        <w:spacing w:after="0" w:line="240" w:lineRule="auto"/>
      </w:pPr>
      <w:r w:rsidRPr="00473CB5">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4ZX/6k2XVJ7ib" int2:id="lqKWewt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8F2695"/>
    <w:multiLevelType w:val="multilevel"/>
    <w:tmpl w:val="DB6A0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A2588E"/>
    <w:multiLevelType w:val="hybridMultilevel"/>
    <w:tmpl w:val="1D68A576"/>
    <w:lvl w:ilvl="0" w:tplc="8E664B2A">
      <w:start w:val="1"/>
      <w:numFmt w:val="bullet"/>
      <w:lvlText w:val=""/>
      <w:lvlJc w:val="left"/>
      <w:pPr>
        <w:ind w:left="144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5170056F"/>
    <w:multiLevelType w:val="multilevel"/>
    <w:tmpl w:val="46C8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E6113"/>
    <w:multiLevelType w:val="multilevel"/>
    <w:tmpl w:val="DF4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8D0AFF"/>
    <w:multiLevelType w:val="hybridMultilevel"/>
    <w:tmpl w:val="38D24242"/>
    <w:lvl w:ilvl="0" w:tplc="1CECC9DA">
      <w:start w:val="4"/>
      <w:numFmt w:val="bullet"/>
      <w:lvlText w:val="-"/>
      <w:lvlJc w:val="left"/>
      <w:pPr>
        <w:ind w:left="720" w:hanging="360"/>
      </w:pPr>
      <w:rPr>
        <w:rFonts w:ascii="Cambria" w:eastAsia="Cambria" w:hAnsi="Cambria" w:cs="Cambria"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6FCD6A4E"/>
    <w:multiLevelType w:val="hybridMultilevel"/>
    <w:tmpl w:val="150268C0"/>
    <w:lvl w:ilvl="0" w:tplc="27542F9A">
      <w:start w:val="1"/>
      <w:numFmt w:val="bullet"/>
      <w:lvlText w:val=""/>
      <w:lvlJc w:val="left"/>
      <w:pPr>
        <w:ind w:left="720" w:hanging="360"/>
      </w:pPr>
      <w:rPr>
        <w:rFonts w:ascii="Symbol" w:hAnsi="Symbol" w:hint="default"/>
        <w:color w:val="auto"/>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 w15:restartNumberingAfterBreak="0">
    <w:nsid w:val="71A81235"/>
    <w:multiLevelType w:val="multilevel"/>
    <w:tmpl w:val="557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F512D"/>
    <w:multiLevelType w:val="multilevel"/>
    <w:tmpl w:val="030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918928">
    <w:abstractNumId w:val="8"/>
  </w:num>
  <w:num w:numId="2" w16cid:durableId="1152595805">
    <w:abstractNumId w:val="6"/>
  </w:num>
  <w:num w:numId="3" w16cid:durableId="1371220407">
    <w:abstractNumId w:val="5"/>
  </w:num>
  <w:num w:numId="4" w16cid:durableId="1862355980">
    <w:abstractNumId w:val="4"/>
  </w:num>
  <w:num w:numId="5" w16cid:durableId="1019310944">
    <w:abstractNumId w:val="7"/>
  </w:num>
  <w:num w:numId="6" w16cid:durableId="913203921">
    <w:abstractNumId w:val="3"/>
  </w:num>
  <w:num w:numId="7" w16cid:durableId="1486125497">
    <w:abstractNumId w:val="2"/>
  </w:num>
  <w:num w:numId="8" w16cid:durableId="533805707">
    <w:abstractNumId w:val="1"/>
  </w:num>
  <w:num w:numId="9" w16cid:durableId="727993240">
    <w:abstractNumId w:val="0"/>
  </w:num>
  <w:num w:numId="10" w16cid:durableId="2145656612">
    <w:abstractNumId w:val="9"/>
  </w:num>
  <w:num w:numId="11" w16cid:durableId="980772154">
    <w:abstractNumId w:val="15"/>
  </w:num>
  <w:num w:numId="12" w16cid:durableId="359159894">
    <w:abstractNumId w:val="11"/>
  </w:num>
  <w:num w:numId="13" w16cid:durableId="2109694856">
    <w:abstractNumId w:val="16"/>
  </w:num>
  <w:num w:numId="14" w16cid:durableId="1601445158">
    <w:abstractNumId w:val="14"/>
  </w:num>
  <w:num w:numId="15" w16cid:durableId="92559988">
    <w:abstractNumId w:val="10"/>
  </w:num>
  <w:num w:numId="16" w16cid:durableId="1299067693">
    <w:abstractNumId w:val="13"/>
  </w:num>
  <w:num w:numId="17" w16cid:durableId="191955704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BUSTAMANTE MORENO">
    <w15:presenceInfo w15:providerId="AD" w15:userId="S::jpbustamantem@itc.edu.co::4a090a4f-9489-491e-b13e-a0936b0027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26"/>
    <w:rsid w:val="00012E9C"/>
    <w:rsid w:val="00034616"/>
    <w:rsid w:val="00055EEC"/>
    <w:rsid w:val="0006063C"/>
    <w:rsid w:val="00067766"/>
    <w:rsid w:val="0009428C"/>
    <w:rsid w:val="000C1090"/>
    <w:rsid w:val="0015074B"/>
    <w:rsid w:val="00203FC8"/>
    <w:rsid w:val="0021133D"/>
    <w:rsid w:val="00261134"/>
    <w:rsid w:val="0026534C"/>
    <w:rsid w:val="0029639D"/>
    <w:rsid w:val="003170FD"/>
    <w:rsid w:val="00326F90"/>
    <w:rsid w:val="003400C4"/>
    <w:rsid w:val="003B35E1"/>
    <w:rsid w:val="00473CB5"/>
    <w:rsid w:val="004A5C6B"/>
    <w:rsid w:val="004F7A63"/>
    <w:rsid w:val="00670B79"/>
    <w:rsid w:val="006937EE"/>
    <w:rsid w:val="006B01D0"/>
    <w:rsid w:val="007025BB"/>
    <w:rsid w:val="00732F44"/>
    <w:rsid w:val="00735779"/>
    <w:rsid w:val="00745EC2"/>
    <w:rsid w:val="00783F01"/>
    <w:rsid w:val="00857649"/>
    <w:rsid w:val="00913754"/>
    <w:rsid w:val="00967093"/>
    <w:rsid w:val="0097012C"/>
    <w:rsid w:val="00984140"/>
    <w:rsid w:val="00984EFA"/>
    <w:rsid w:val="009A1063"/>
    <w:rsid w:val="009B516E"/>
    <w:rsid w:val="00A12365"/>
    <w:rsid w:val="00A46151"/>
    <w:rsid w:val="00A85073"/>
    <w:rsid w:val="00A86B9F"/>
    <w:rsid w:val="00AA1D8D"/>
    <w:rsid w:val="00B47730"/>
    <w:rsid w:val="00B57820"/>
    <w:rsid w:val="00BF45E5"/>
    <w:rsid w:val="00C128C5"/>
    <w:rsid w:val="00C16BA9"/>
    <w:rsid w:val="00C91532"/>
    <w:rsid w:val="00CB0664"/>
    <w:rsid w:val="00D8655D"/>
    <w:rsid w:val="00DC03AB"/>
    <w:rsid w:val="00DF55D4"/>
    <w:rsid w:val="00E15DE6"/>
    <w:rsid w:val="00E16176"/>
    <w:rsid w:val="00E2301E"/>
    <w:rsid w:val="00E8174E"/>
    <w:rsid w:val="00E83E61"/>
    <w:rsid w:val="00E87650"/>
    <w:rsid w:val="00F71230"/>
    <w:rsid w:val="00FA7431"/>
    <w:rsid w:val="00FC693F"/>
    <w:rsid w:val="00FE5E79"/>
    <w:rsid w:val="019E102D"/>
    <w:rsid w:val="06A0C53B"/>
    <w:rsid w:val="06DE633B"/>
    <w:rsid w:val="10C82BC3"/>
    <w:rsid w:val="140780EB"/>
    <w:rsid w:val="183B5799"/>
    <w:rsid w:val="2565C17E"/>
    <w:rsid w:val="31AE2FAE"/>
    <w:rsid w:val="334D70A1"/>
    <w:rsid w:val="33BA2888"/>
    <w:rsid w:val="40A23002"/>
    <w:rsid w:val="4299855C"/>
    <w:rsid w:val="4D490452"/>
    <w:rsid w:val="547C2236"/>
    <w:rsid w:val="5E2C6509"/>
    <w:rsid w:val="623A31F5"/>
    <w:rsid w:val="625DF8AC"/>
    <w:rsid w:val="7715E27F"/>
    <w:rsid w:val="78C696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2DB5C"/>
  <w14:defaultImageDpi w14:val="300"/>
  <w15:docId w15:val="{3B51F67B-D906-40CE-85AE-E6C2D8234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mbria" w:eastAsia="Cambria" w:hAnsi="Cambria" w:cs="Cambria"/>
      <w:color w:val="1C1917"/>
      <w:lang w:val="es-419"/>
    </w:rPr>
  </w:style>
  <w:style w:type="paragraph" w:styleId="Ttulo1">
    <w:name w:val="heading 1"/>
    <w:basedOn w:val="Normal"/>
    <w:next w:val="Normal"/>
    <w:link w:val="Ttulo1Car"/>
    <w:uiPriority w:val="9"/>
    <w:qFormat/>
    <w:rsid w:val="00FC693F"/>
    <w:pPr>
      <w:keepNext/>
      <w:keepLines/>
      <w:pBdr>
        <w:bottom w:val="single" w:sz="12" w:space="6" w:color="0F6E6E"/>
      </w:pBdr>
      <w:spacing w:after="240" w:line="240" w:lineRule="auto"/>
      <w:jc w:val="left"/>
      <w:outlineLvl w:val="0"/>
    </w:pPr>
    <w:rPr>
      <w:rFonts w:asciiTheme="majorHAnsi" w:eastAsiaTheme="majorEastAsia" w:hAnsiTheme="majorHAnsi" w:cstheme="majorBidi"/>
      <w:b/>
      <w:bCs/>
      <w:caps/>
      <w:color w:val="0F6E6E"/>
      <w:sz w:val="34"/>
      <w:szCs w:val="28"/>
    </w:rPr>
  </w:style>
  <w:style w:type="paragraph" w:styleId="Ttulo2">
    <w:name w:val="heading 2"/>
    <w:basedOn w:val="Normal"/>
    <w:next w:val="Normal"/>
    <w:link w:val="Ttulo2Car"/>
    <w:uiPriority w:val="9"/>
    <w:unhideWhenUsed/>
    <w:qFormat/>
    <w:rsid w:val="00FC693F"/>
    <w:pPr>
      <w:keepNext/>
      <w:keepLines/>
      <w:spacing w:before="320" w:after="100" w:line="240" w:lineRule="auto"/>
      <w:jc w:val="left"/>
      <w:outlineLvl w:val="1"/>
    </w:pPr>
    <w:rPr>
      <w:rFonts w:asciiTheme="majorHAnsi" w:eastAsiaTheme="majorEastAsia" w:hAnsiTheme="majorHAnsi" w:cstheme="majorBidi"/>
      <w:b/>
      <w:bCs/>
      <w:color w:val="0A4F4F"/>
      <w:sz w:val="26"/>
      <w:szCs w:val="26"/>
    </w:rPr>
  </w:style>
  <w:style w:type="paragraph" w:styleId="Ttulo3">
    <w:name w:val="heading 3"/>
    <w:basedOn w:val="Normal"/>
    <w:next w:val="Normal"/>
    <w:link w:val="Ttulo3Car"/>
    <w:uiPriority w:val="9"/>
    <w:unhideWhenUsed/>
    <w:qFormat/>
    <w:rsid w:val="00FC693F"/>
    <w:pPr>
      <w:keepNext/>
      <w:keepLines/>
      <w:spacing w:before="240" w:after="60"/>
      <w:jc w:val="left"/>
      <w:outlineLvl w:val="2"/>
    </w:pPr>
    <w:rPr>
      <w:rFonts w:asciiTheme="majorHAnsi" w:eastAsiaTheme="majorEastAsia" w:hAnsiTheme="majorHAnsi" w:cstheme="majorBidi"/>
      <w:b/>
      <w:bCs/>
      <w:color w:val="57534E"/>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80" w:line="240" w:lineRule="auto"/>
      <w:contextualSpacing/>
      <w:jc w:val="left"/>
    </w:pPr>
    <w:rPr>
      <w:rFonts w:asciiTheme="majorHAnsi" w:eastAsiaTheme="majorEastAsia" w:hAnsiTheme="majorHAnsi" w:cstheme="majorBidi"/>
      <w:b/>
      <w:color w:val="0A4F4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os">
    <w:name w:val="Metadatos"/>
    <w:basedOn w:val="Normal"/>
    <w:pPr>
      <w:spacing w:after="20"/>
      <w:jc w:val="left"/>
    </w:pPr>
    <w:rPr>
      <w:rFonts w:ascii="Segoe UI" w:eastAsia="Segoe UI" w:hAnsi="Segoe UI" w:cs="Segoe UI"/>
      <w:color w:val="57534E"/>
      <w:sz w:val="20"/>
    </w:rPr>
  </w:style>
  <w:style w:type="paragraph" w:customStyle="1" w:styleId="Citadestacada1">
    <w:name w:val="Cita destacada1"/>
    <w:basedOn w:val="Normal"/>
    <w:pPr>
      <w:pBdr>
        <w:left w:val="single" w:sz="18" w:space="8" w:color="D97706"/>
      </w:pBdr>
      <w:spacing w:before="60" w:after="60" w:line="264" w:lineRule="auto"/>
      <w:ind w:left="312" w:right="198"/>
      <w:jc w:val="left"/>
    </w:pPr>
    <w:rPr>
      <w:color w:val="7C2D12"/>
      <w:sz w:val="20"/>
    </w:rPr>
  </w:style>
  <w:style w:type="paragraph" w:customStyle="1" w:styleId="Bloquedecodigo">
    <w:name w:val="Bloque de codigo"/>
    <w:basedOn w:val="Normal"/>
    <w:pPr>
      <w:spacing w:after="0" w:line="0" w:lineRule="auto"/>
      <w:ind w:left="198"/>
      <w:jc w:val="left"/>
    </w:pPr>
    <w:rPr>
      <w:rFonts w:ascii="Consolas" w:eastAsia="Consolas" w:hAnsi="Consolas" w:cs="Consolas"/>
      <w:sz w:val="17"/>
    </w:rPr>
  </w:style>
  <w:style w:type="paragraph" w:customStyle="1" w:styleId="Vineta">
    <w:name w:val="Vineta"/>
    <w:basedOn w:val="Normal"/>
    <w:pPr>
      <w:spacing w:after="60" w:line="264" w:lineRule="auto"/>
      <w:ind w:left="425" w:hanging="255"/>
      <w:jc w:val="left"/>
    </w:pPr>
  </w:style>
  <w:style w:type="paragraph" w:customStyle="1" w:styleId="Textodetabla">
    <w:name w:val="Texto de tabla"/>
    <w:basedOn w:val="Normal"/>
    <w:pPr>
      <w:spacing w:before="40" w:after="40" w:line="252" w:lineRule="auto"/>
      <w:jc w:val="left"/>
    </w:pPr>
    <w:rPr>
      <w:rFonts w:ascii="Segoe UI" w:eastAsia="Segoe UI" w:hAnsi="Segoe UI" w:cs="Segoe UI"/>
      <w:sz w:val="17"/>
    </w:rPr>
  </w:style>
  <w:style w:type="paragraph" w:styleId="NormalWeb">
    <w:name w:val="Normal (Web)"/>
    <w:basedOn w:val="Normal"/>
    <w:uiPriority w:val="99"/>
    <w:semiHidden/>
    <w:unhideWhenUsed/>
    <w:rsid w:val="0097012C"/>
    <w:rPr>
      <w:rFonts w:ascii="Times New Roman" w:hAnsi="Times New Roman" w:cs="Times New Roman"/>
      <w:sz w:val="24"/>
      <w:szCs w:val="24"/>
    </w:rPr>
  </w:style>
  <w:style w:type="character" w:styleId="Hipervnculo">
    <w:name w:val="Hyperlink"/>
    <w:basedOn w:val="Fuentedeprrafopredeter"/>
    <w:uiPriority w:val="99"/>
    <w:unhideWhenUsed/>
    <w:rsid w:val="00A46151"/>
    <w:rPr>
      <w:color w:val="0000FF" w:themeColor="hyperlink"/>
      <w:u w:val="single"/>
    </w:rPr>
  </w:style>
  <w:style w:type="character" w:styleId="Mencinsinresolver">
    <w:name w:val="Unresolved Mention"/>
    <w:basedOn w:val="Fuentedeprrafopredeter"/>
    <w:uiPriority w:val="99"/>
    <w:semiHidden/>
    <w:unhideWhenUsed/>
    <w:rsid w:val="00A46151"/>
    <w:rPr>
      <w:color w:val="605E5C"/>
      <w:shd w:val="clear" w:color="auto" w:fill="E1DFDD"/>
    </w:rPr>
  </w:style>
  <w:style w:type="character" w:styleId="Hipervnculovisitado">
    <w:name w:val="FollowedHyperlink"/>
    <w:basedOn w:val="Fuentedeprrafopredeter"/>
    <w:uiPriority w:val="99"/>
    <w:semiHidden/>
    <w:unhideWhenUsed/>
    <w:rsid w:val="00A46151"/>
    <w:rPr>
      <w:color w:val="800080" w:themeColor="followedHyperlink"/>
      <w:u w:val="single"/>
    </w:rPr>
  </w:style>
  <w:style w:type="paragraph" w:styleId="TDC1">
    <w:name w:val="toc 1"/>
    <w:basedOn w:val="Normal"/>
    <w:next w:val="Normal"/>
    <w:autoRedefine/>
    <w:uiPriority w:val="39"/>
    <w:unhideWhenUsed/>
    <w:rsid w:val="000C1090"/>
    <w:pPr>
      <w:spacing w:after="100"/>
    </w:pPr>
  </w:style>
  <w:style w:type="paragraph" w:styleId="TDC2">
    <w:name w:val="toc 2"/>
    <w:basedOn w:val="Normal"/>
    <w:next w:val="Normal"/>
    <w:autoRedefine/>
    <w:uiPriority w:val="39"/>
    <w:unhideWhenUsed/>
    <w:rsid w:val="000C1090"/>
    <w:pPr>
      <w:spacing w:after="100"/>
      <w:ind w:left="220"/>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mbria" w:eastAsia="Cambria" w:hAnsi="Cambria" w:cs="Cambria"/>
      <w:color w:val="1C1917"/>
      <w:sz w:val="20"/>
      <w:szCs w:val="20"/>
      <w:lang w:val="es-419"/>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dacopiobogota.com/" TargetMode="External"/><Relationship Id="rId18" Type="http://schemas.openxmlformats.org/officeDocument/2006/relationships/hyperlink" Target="https://www.infobae.com/colombia/2026/08/10/centros-de-acopio-habilitados-en-colombia-tras-el-terremoto-guia-por-ciudad-para-donar-y-ayudar-a-las-victimas" TargetMode="External"/><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s://www.ushahidi.com"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bogota.gov.co/mi-ciudad/ambiente/que-donar-y-no-donar-en-bogota-para-damnificados-terremoto-colombia"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pccolombia.gov.co/comunicaciones/noticias/apc-colombia-emite-orientaciones-para-articular-las-donaciones-y-ayudas" TargetMode="External"/><Relationship Id="rId20" Type="http://schemas.openxmlformats.org/officeDocument/2006/relationships/hyperlink" Target="https://sahanafoundati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dane.gov.co/index.php/estadisticas-por-tema/demografia-y-poblacion/proyecciones-de-poblacion" TargetMode="Externa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www.canalcapital.gov.co/ahora/palacio-de-los-deportes-donaciones-hoy-horario-como-ayudar"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spherestandards.org/wp-content/uploads/El-manual-Esfera-2018-ES.pdf" TargetMode="External"/><Relationship Id="rId22" Type="http://schemas.openxmlformats.org/officeDocument/2006/relationships/hyperlink" Target="https://www.kobotoolbox.org"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5548</Words>
  <Characters>30520</Characters>
  <Application>Microsoft Office Word</Application>
  <DocSecurity>0</DocSecurity>
  <Lines>254</Lines>
  <Paragraphs>71</Paragraphs>
  <ScaleCrop>false</ScaleCrop>
  <Manager/>
  <Company/>
  <LinksUpToDate>false</LinksUpToDate>
  <CharactersWithSpaces>35997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Complemento de la sustentación del segundo corte</dc:title>
  <dc:subject>Acopio · Ingeniería de Software I · ETITC</dc:subject>
  <dc:creator>python-docx</dc:creator>
  <cp:keywords/>
  <dc:description>generated by python-docx</dc:description>
  <cp:lastModifiedBy>JOSEPH DANIEL RHOMANDT BERMUDEZ</cp:lastModifiedBy>
  <cp:revision>3</cp:revision>
  <dcterms:created xsi:type="dcterms:W3CDTF">2026-09-11T16:07:00Z</dcterms:created>
  <dcterms:modified xsi:type="dcterms:W3CDTF">2026-09-11T16:10:00Z</dcterms:modified>
  <cp:category/>
</cp:coreProperties>
</file>