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Avance de proyecto #5 — Sprint 2: interfaz funcional y aplicación de patrones de diseño</w:t>
      </w:r>
    </w:p>
    <w:p>
      <w:pPr>
        <w:pStyle w:val="Metadatos"/>
      </w:pPr>
      <w:r>
        <w:rPr>
          <w:b/>
        </w:rPr>
        <w:t xml:space="preserve">Asignatura: </w:t>
      </w:r>
      <w:r>
        <w:t>Ingeniería de Software I</w:t>
      </w:r>
    </w:p>
    <w:p>
      <w:pPr>
        <w:pStyle w:val="Metadatos"/>
      </w:pPr>
      <w:r>
        <w:rPr>
          <w:b/>
        </w:rPr>
        <w:t xml:space="preserve">Docente: </w:t>
      </w:r>
      <w:r>
        <w:t>Juan Pablo Bustamante Moreno</w:t>
      </w:r>
    </w:p>
    <w:p>
      <w:pPr>
        <w:pStyle w:val="Metadatos"/>
      </w:pPr>
      <w:r>
        <w:rPr>
          <w:b/>
        </w:rPr>
        <w:t xml:space="preserve">Institución: </w:t>
      </w:r>
      <w:r>
        <w:t>Escuela Tecnológica Instituto Técnico Central (ETITC)</w:t>
      </w:r>
    </w:p>
    <w:p>
      <w:pPr>
        <w:pStyle w:val="Metadatos"/>
      </w:pPr>
      <w:r>
        <w:rPr>
          <w:b/>
        </w:rPr>
        <w:t xml:space="preserve">Integrantes: </w:t>
      </w:r>
      <w:r>
        <w:t>Joseph · Brayan · Alejandra · Michael</w:t>
      </w:r>
    </w:p>
    <w:p>
      <w:pPr>
        <w:pStyle w:val="Metadatos"/>
      </w:pPr>
      <w:r>
        <w:rPr>
          <w:b/>
        </w:rPr>
        <w:t xml:space="preserve">Sprint: </w:t>
      </w:r>
      <w:r>
        <w:t>2 · del 12 al 25 de octubre de 2026</w:t>
      </w:r>
    </w:p>
    <w:p>
      <w:pPr>
        <w:pStyle w:val="Metadatos"/>
      </w:pPr>
      <w:r>
        <w:rPr>
          <w:b/>
        </w:rPr>
        <w:t xml:space="preserve">Repositorio: </w:t>
      </w:r>
      <w:r>
        <w:t>https://github.com/Proyecto-IngSoftware/acopio</w:t>
      </w:r>
    </w:p>
    <w:p>
      <w:r>
        <w:br w:type="page"/>
      </w:r>
    </w:p>
    <w:p>
      <w:pPr>
        <w:pStyle w:val="Ttulo1"/>
      </w:pPr>
      <w:r>
        <w:t>1. Incremento funcional</w:t>
      </w:r>
    </w:p>
    <w:p>
      <w:r>
        <w:t xml:space="preserve">El Sprint 2 amplía el incremento del Sprint 1 con la interfaz web y con tres bloques más del dominio: el motor de traslados, las causas verificadas y los turnos de voluntariado. La web y la API corren en la misma máquina con Docker Compose y también en el servidor de pruebas, </w:t>
      </w:r>
      <w:r>
        <w:t>https://acopio.josephqaz.dev</w:t>
      </w:r>
      <w:r>
        <w:t>, con la demo sembrada.</w:t>
      </w:r>
    </w:p>
    <w:p>
      <w:pPr>
        <w:pStyle w:val="Vineta"/>
      </w:pPr>
      <w:r>
        <w:t xml:space="preserve">•  </w:t>
      </w:r>
      <w:r>
        <w:rPr>
          <w:b/>
        </w:rPr>
        <w:t>API y base de datos.</w:t>
      </w:r>
      <w:r>
        <w:t xml:space="preserve"> NestJS 11 con Prisma sobre PostgreSQL 16. La web, en React, consulta la API por un cliente tipado con el contrato OpenAPI que genera la propia API.</w:t>
      </w:r>
    </w:p>
    <w:p>
      <w:pPr>
        <w:pStyle w:val="Vineta"/>
      </w:pPr>
      <w:r>
        <w:t xml:space="preserve">•  </w:t>
      </w:r>
      <w:r>
        <w:rPr>
          <w:b/>
        </w:rPr>
        <w:t>Docker Compose.</w:t>
      </w:r>
      <w:r>
        <w:t xml:space="preserve"> </w:t>
      </w:r>
      <w:r>
        <w:rPr>
          <w:rFonts w:ascii="Consolas" w:hAnsi="Consolas"/>
          <w:sz w:val="19"/>
        </w:rPr>
        <w:t>bun run servicios:todo</w:t>
      </w:r>
      <w:r>
        <w:t xml:space="preserve"> levanta la base, el almacenamiento de archivos (Garage), el correo de pruebas (Mailpit) y la API. Los datos persisten en los volúmenes </w:t>
      </w:r>
      <w:r>
        <w:rPr>
          <w:rFonts w:ascii="Consolas" w:hAnsi="Consolas"/>
          <w:sz w:val="19"/>
        </w:rPr>
        <w:t>acopio_pgdata</w:t>
      </w:r>
      <w:r>
        <w:t xml:space="preserve">, </w:t>
      </w:r>
      <w:r>
        <w:rPr>
          <w:rFonts w:ascii="Consolas" w:hAnsi="Consolas"/>
          <w:sz w:val="19"/>
        </w:rPr>
        <w:t>acopio_garagedata</w:t>
      </w:r>
      <w:r>
        <w:t xml:space="preserve">, </w:t>
      </w:r>
      <w:r>
        <w:rPr>
          <w:rFonts w:ascii="Consolas" w:hAnsi="Consolas"/>
          <w:sz w:val="19"/>
        </w:rPr>
        <w:t>acopio_garagemeta</w:t>
      </w:r>
      <w:r>
        <w:t xml:space="preserve"> y </w:t>
      </w:r>
      <w:r>
        <w:rPr>
          <w:rFonts w:ascii="Consolas" w:hAnsi="Consolas"/>
          <w:sz w:val="19"/>
        </w:rPr>
        <w:t>acopio_llaves</w:t>
      </w:r>
      <w:r>
        <w:t>. La evidencia de los contenedores está en la §3c.</w:t>
      </w:r>
    </w:p>
    <w:p>
      <w:pPr>
        <w:pStyle w:val="Vineta"/>
      </w:pPr>
      <w:r>
        <w:t xml:space="preserve">•  </w:t>
      </w:r>
      <w:r>
        <w:rPr>
          <w:b/>
        </w:rPr>
        <w:t>Variables de entorno.</w:t>
      </w:r>
      <w:r>
        <w:t xml:space="preserve"> El repositorio trae solo </w:t>
      </w:r>
      <w:r>
        <w:rPr>
          <w:rFonts w:ascii="Consolas" w:hAnsi="Consolas"/>
          <w:sz w:val="19"/>
        </w:rPr>
        <w:t>.env.example</w:t>
      </w:r>
      <w:r>
        <w:t xml:space="preserve">; el </w:t>
      </w:r>
      <w:r>
        <w:rPr>
          <w:rFonts w:ascii="Consolas" w:hAnsi="Consolas"/>
          <w:sz w:val="19"/>
        </w:rPr>
        <w:t>.env</w:t>
      </w:r>
      <w:r>
        <w:t xml:space="preserve"> está en </w:t>
      </w:r>
      <w:r>
        <w:rPr>
          <w:rFonts w:ascii="Consolas" w:hAnsi="Consolas"/>
          <w:sz w:val="19"/>
        </w:rPr>
        <w:t>.gitignore</w:t>
      </w:r>
      <w:r>
        <w:t>. En el servidor, las variables viven en el panel de Dokploy.</w:t>
      </w:r>
    </w:p>
    <w:p>
      <w:pPr>
        <w:pStyle w:val="Vineta"/>
      </w:pPr>
      <w:r>
        <w:t xml:space="preserve">•  </w:t>
      </w:r>
      <w:r>
        <w:rPr>
          <w:b/>
        </w:rPr>
        <w:t>Errores y validaciones.</w:t>
      </w:r>
      <w:r>
        <w:t xml:space="preserve"> Cada entrada se valida con un esquema Zod en su DTO. Todos los errores salen con el mismo formato (</w:t>
      </w:r>
      <w:r>
        <w:rPr>
          <w:rFonts w:ascii="Consolas" w:hAnsi="Consolas"/>
          <w:sz w:val="19"/>
        </w:rPr>
        <w:t>estado</w:t>
      </w:r>
      <w:r>
        <w:t xml:space="preserve">, </w:t>
      </w:r>
      <w:r>
        <w:rPr>
          <w:rFonts w:ascii="Consolas" w:hAnsi="Consolas"/>
          <w:sz w:val="19"/>
        </w:rPr>
        <w:t>codigo</w:t>
      </w:r>
      <w:r>
        <w:t xml:space="preserve">, </w:t>
      </w:r>
      <w:r>
        <w:rPr>
          <w:rFonts w:ascii="Consolas" w:hAnsi="Consolas"/>
          <w:sz w:val="19"/>
        </w:rPr>
        <w:t>mensaje</w:t>
      </w:r>
      <w:r>
        <w:t xml:space="preserve">), y la web muestra el </w:t>
      </w:r>
      <w:r>
        <w:rPr>
          <w:rFonts w:ascii="Consolas" w:hAnsi="Consolas"/>
          <w:sz w:val="19"/>
        </w:rPr>
        <w:t>mensaje</w:t>
      </w:r>
      <w:r>
        <w:t xml:space="preserve"> tal cual. Por ejemplo, reservar dos veces la misma jornada con el mismo correo responde 409 </w:t>
      </w:r>
      <w:r>
        <w:rPr>
          <w:rFonts w:ascii="Consolas" w:hAnsi="Consolas"/>
          <w:sz w:val="19"/>
        </w:rPr>
        <w:t>RESERVA_REPETIDA</w:t>
      </w:r>
      <w:r>
        <w:t>: «Ya tienes una reserva en esta jornada con ese correo».</w:t>
      </w:r>
    </w:p>
    <w:p>
      <w:pPr>
        <w:pStyle w:val="Vineta"/>
      </w:pPr>
      <w:r>
        <w:t xml:space="preserve">•  </w:t>
      </w:r>
      <w:r>
        <w:rPr>
          <w:b/>
        </w:rPr>
        <w:t>Colaboración en GitHub.</w:t>
      </w:r>
      <w:r>
        <w:t xml:space="preserve"> Desde el 9 de octubre cada cambio va en una rama y entra por un pull request con el CI en verde: lint, tipos, límites entre módulos, pruebas unitarias, de integración y la imagen de Docker. Entre el 12 y el 18 de octubre se fusionaron 66 pull requests (del #64 al #130), con 104 commits, y las ramas se conservan como evidencia. Los 66 los abrió Joseph. GitHub no deja aprobar un PR propio, así que la revisión quedó como comentario antes de fusionar. La acción de la retrospectiva del Sprint 1, que cada integrante abriera al menos un PR revisado por otro, no se cumplió.</w:t>
      </w:r>
    </w:p>
    <w:p>
      <w:r>
        <w:t>Las pantallas de abajo corresponden a las historias del Planning del Sprint 2. Las capturas las toman los recorridos de punta a punta mientras recorren cada flujo en un navegador real, con datos de la base de la demo, a 360 px de ancho, el tamaño de un teléfono.</w:t>
      </w:r>
    </w:p>
    <w:p>
      <w:pPr>
        <w:pStyle w:val="Ttulo2"/>
      </w:pPr>
      <w:r>
        <w:t>1a. Flujo del motor: de la sugerencia a la recepción</w:t>
      </w:r>
    </w:p>
    <w:p>
      <w:r>
        <w:t>Historias HU-10a Ver a dónde falta y de dónde sobra, HU-10b Aprobar o descartar un traslado, HU-11 Despachar con un documento verificable y HU-12 Confirmar la llegada sin contar unidad por unidad.</w:t>
      </w:r>
    </w:p>
    <w:p>
      <w:pPr>
        <w:pStyle w:val="Vineta"/>
      </w:pPr>
      <w:r>
        <w:t xml:space="preserve">1. </w:t>
      </w:r>
      <w:r>
        <w:t xml:space="preserve">El Administrador abre el </w:t>
      </w:r>
      <w:r>
        <w:rPr>
          <w:b/>
        </w:rPr>
        <w:t>motor de sugerencias</w:t>
      </w:r>
      <w:r>
        <w:t xml:space="preserve"> (C11) y toca «Recalcular». La API cruza la necesidad de cada zona con lo que sobra en cada acopio y devuelve los traslados ordenados por puntaje. Cada tarjeta explica por qué se sugiere y muestra los cuatro criterios del puntaje. Desde ahí se aprueba o se descarta; al descartar se pide el motivo, y la tarjeta queda en «Descartadas» con quién lo decidió.</w:t>
      </w:r>
    </w:p>
    <w:p>
      <w:pPr>
        <w:pStyle w:val="Vineta"/>
      </w:pPr>
      <w:r>
        <w:t xml:space="preserve">2. </w:t>
      </w:r>
      <w:r>
        <w:t xml:space="preserve">Un traslado aprobado se vuelve una </w:t>
      </w:r>
      <w:r>
        <w:rPr>
          <w:b/>
        </w:rPr>
        <w:t>remisión</w:t>
      </w:r>
      <w:r>
        <w:t xml:space="preserve"> en borrador (C12). El Administrador la revisa y la despacha; entonces pasa a «En tránsito».</w:t>
      </w:r>
    </w:p>
    <w:p>
      <w:pPr>
        <w:pStyle w:val="Vineta"/>
      </w:pPr>
      <w:r>
        <w:t xml:space="preserve">3. </w:t>
      </w:r>
      <w:r>
        <w:t xml:space="preserve">La remisión despachada tiene su </w:t>
      </w:r>
      <w:r>
        <w:rPr>
          <w:b/>
        </w:rPr>
        <w:t>documento</w:t>
      </w:r>
      <w:r>
        <w:t xml:space="preserve"> para imprimir, con el código, el QR, las cantidades y los espacios para las firmas de quien entrega y quien recibe.</w:t>
      </w:r>
    </w:p>
    <w:p>
      <w:pPr>
        <w:pStyle w:val="Vineta"/>
      </w:pPr>
      <w:r>
        <w:t xml:space="preserve">4. </w:t>
      </w:r>
      <w:r>
        <w:t>En la zona, el Receptor escanea el QR o escribe el código, confirma lo que llegó y adjunta una foto. La pantalla confirma la recepción y lleva a la ficha de la zona. Si el código no es de una remisión, responde «Ese código no es el QR de una remisión»; si la remisión ya se recibió, «Esta remisión ya no está en camino a tus zonas».</w:t>
      </w:r>
    </w:p>
    <w:p>
      <w:pPr>
        <w:keepNext/>
      </w:pPr>
      <w:r>
        <w:t>HU-13 Contar lo que la fórmula no ve se cubre desde «Mi zona»: el Receptor reporta una necesidad que el cálculo no conoce, y el motor la toma en cuenta al recalcular.</w:t>
      </w:r>
    </w:p>
    <w:tbl>
      <w:tblPr>
        <w:tblW w:type="auto" w:w="0"/>
        <w:jc w:val="center"/>
        <w:tblLook w:firstColumn="1" w:firstRow="1" w:lastColumn="0" w:lastRow="0" w:noHBand="0" w:noVBand="1" w:val="04A0"/>
      </w:tblPr>
      <w:tblGrid>
        <w:gridCol w:w="3061"/>
        <w:gridCol w:w="3061"/>
        <w:gridCol w:w="3061"/>
      </w:tblGrid>
      <w:tr>
        <w:trPr>
          <w:cantSplit w:val="true"/>
        </w:trPr>
        <w:tc>
          <w:tcPr>
            <w:tcW w:type="dxa" w:w="3061"/>
          </w:tcPr>
          <w:p>
            <w:pPr>
              <w:jc w:val="center"/>
            </w:pPr>
            <w:r>
              <w:drawing>
                <wp:inline xmlns:a="http://schemas.openxmlformats.org/drawingml/2006/main" xmlns:pic="http://schemas.openxmlformats.org/drawingml/2006/picture">
                  <wp:extent cx="1655946" cy="2943904"/>
                  <wp:docPr id="1" name="Picture 1"/>
                  <wp:cNvGraphicFramePr>
                    <a:graphicFrameLocks noChangeAspect="1"/>
                  </wp:cNvGraphicFramePr>
                  <a:graphic>
                    <a:graphicData uri="http://schemas.openxmlformats.org/drawingml/2006/picture">
                      <pic:pic>
                        <pic:nvPicPr>
                          <pic:cNvPr id="0" name="motor-1-sugerencias.png"/>
                          <pic:cNvPicPr/>
                        </pic:nvPicPr>
                        <pic:blipFill>
                          <a:blip r:embed="rId27"/>
                          <a:stretch>
                            <a:fillRect/>
                          </a:stretch>
                        </pic:blipFill>
                        <pic:spPr>
                          <a:xfrm>
                            <a:off x="0" y="0"/>
                            <a:ext cx="1655946" cy="2943904"/>
                          </a:xfrm>
                          <a:prstGeom prst="rect"/>
                        </pic:spPr>
                      </pic:pic>
                    </a:graphicData>
                  </a:graphic>
                </wp:inline>
              </w:drawing>
            </w:r>
          </w:p>
          <w:p>
            <w:pPr>
              <w:jc w:val="center"/>
            </w:pPr>
            <w:r>
              <w:rPr>
                <w:b/>
                <w:color w:val="57534E"/>
                <w:sz w:val="16"/>
              </w:rPr>
              <w:t xml:space="preserve">Figura 1. </w:t>
            </w:r>
            <w:r>
              <w:rPr>
                <w:color w:val="57534E"/>
                <w:sz w:val="16"/>
              </w:rPr>
              <w:t>Motor de sugerencias (C11): traslados sugeridos con su puntaje.</w:t>
            </w:r>
          </w:p>
        </w:tc>
        <w:tc>
          <w:tcPr>
            <w:tcW w:type="dxa" w:w="3061"/>
          </w:tcPr>
          <w:p>
            <w:pPr>
              <w:jc w:val="center"/>
            </w:pPr>
            <w:r>
              <w:drawing>
                <wp:inline xmlns:a="http://schemas.openxmlformats.org/drawingml/2006/main" xmlns:pic="http://schemas.openxmlformats.org/drawingml/2006/picture">
                  <wp:extent cx="1655946" cy="2943904"/>
                  <wp:docPr id="2" name="Picture 2"/>
                  <wp:cNvGraphicFramePr>
                    <a:graphicFrameLocks noChangeAspect="1"/>
                  </wp:cNvGraphicFramePr>
                  <a:graphic>
                    <a:graphicData uri="http://schemas.openxmlformats.org/drawingml/2006/picture">
                      <pic:pic>
                        <pic:nvPicPr>
                          <pic:cNvPr id="0" name="motor-2-aprobar.png"/>
                          <pic:cNvPicPr/>
                        </pic:nvPicPr>
                        <pic:blipFill>
                          <a:blip r:embed="rId28"/>
                          <a:stretch>
                            <a:fillRect/>
                          </a:stretch>
                        </pic:blipFill>
                        <pic:spPr>
                          <a:xfrm>
                            <a:off x="0" y="0"/>
                            <a:ext cx="1655946" cy="2943904"/>
                          </a:xfrm>
                          <a:prstGeom prst="rect"/>
                        </pic:spPr>
                      </pic:pic>
                    </a:graphicData>
                  </a:graphic>
                </wp:inline>
              </w:drawing>
            </w:r>
          </w:p>
          <w:p>
            <w:pPr>
              <w:jc w:val="center"/>
            </w:pPr>
            <w:r>
              <w:rPr>
                <w:b/>
                <w:color w:val="57534E"/>
                <w:sz w:val="16"/>
              </w:rPr>
              <w:t xml:space="preserve">Figura 2. </w:t>
            </w:r>
            <w:r>
              <w:rPr>
                <w:color w:val="57534E"/>
                <w:sz w:val="16"/>
              </w:rPr>
              <w:t>Aprobar un traslado: la cantidad sugerida y la remisión en borrador que se crea.</w:t>
            </w:r>
          </w:p>
        </w:tc>
        <w:tc>
          <w:tcPr>
            <w:tcW w:type="dxa" w:w="3061"/>
          </w:tcPr>
          <w:p>
            <w:pPr>
              <w:jc w:val="center"/>
            </w:pPr>
            <w:r>
              <w:drawing>
                <wp:inline xmlns:a="http://schemas.openxmlformats.org/drawingml/2006/main" xmlns:pic="http://schemas.openxmlformats.org/drawingml/2006/picture">
                  <wp:extent cx="1655946" cy="2943904"/>
                  <wp:docPr id="3" name="Picture 3"/>
                  <wp:cNvGraphicFramePr>
                    <a:graphicFrameLocks noChangeAspect="1"/>
                  </wp:cNvGraphicFramePr>
                  <a:graphic>
                    <a:graphicData uri="http://schemas.openxmlformats.org/drawingml/2006/picture">
                      <pic:pic>
                        <pic:nvPicPr>
                          <pic:cNvPr id="0" name="motor-3-despachar.png"/>
                          <pic:cNvPicPr/>
                        </pic:nvPicPr>
                        <pic:blipFill>
                          <a:blip r:embed="rId29"/>
                          <a:stretch>
                            <a:fillRect/>
                          </a:stretch>
                        </pic:blipFill>
                        <pic:spPr>
                          <a:xfrm>
                            <a:off x="0" y="0"/>
                            <a:ext cx="1655946" cy="2943904"/>
                          </a:xfrm>
                          <a:prstGeom prst="rect"/>
                        </pic:spPr>
                      </pic:pic>
                    </a:graphicData>
                  </a:graphic>
                </wp:inline>
              </w:drawing>
            </w:r>
          </w:p>
          <w:p>
            <w:pPr>
              <w:jc w:val="center"/>
            </w:pPr>
            <w:r>
              <w:rPr>
                <w:b/>
                <w:color w:val="57534E"/>
                <w:sz w:val="16"/>
              </w:rPr>
              <w:t xml:space="preserve">Figura 3. </w:t>
            </w:r>
            <w:r>
              <w:rPr>
                <w:color w:val="57534E"/>
                <w:sz w:val="16"/>
              </w:rPr>
              <w:t>Despachar la remisión (C12): quién lleva el envío y qué folios van.</w:t>
            </w:r>
          </w:p>
        </w:tc>
      </w:tr>
    </w:tbl>
    <w:p>
      <w:pPr>
        <w:spacing w:after="80"/>
      </w:pPr>
    </w:p>
    <w:tbl>
      <w:tblPr>
        <w:tblW w:type="auto" w:w="0"/>
        <w:jc w:val="center"/>
        <w:tblLook w:firstColumn="1" w:firstRow="1" w:lastColumn="0" w:lastRow="0" w:noHBand="0" w:noVBand="1" w:val="04A0"/>
      </w:tblPr>
      <w:tblGrid>
        <w:gridCol w:w="3061"/>
        <w:gridCol w:w="3061"/>
        <w:gridCol w:w="3061"/>
      </w:tblGrid>
      <w:tr>
        <w:trPr>
          <w:cantSplit w:val="true"/>
        </w:trPr>
        <w:tc>
          <w:tcPr>
            <w:tcW w:type="dxa" w:w="3061"/>
          </w:tcPr>
          <w:p>
            <w:pPr>
              <w:jc w:val="center"/>
            </w:pPr>
            <w:r>
              <w:drawing>
                <wp:inline xmlns:a="http://schemas.openxmlformats.org/drawingml/2006/main" xmlns:pic="http://schemas.openxmlformats.org/drawingml/2006/picture">
                  <wp:extent cx="1655946" cy="2943904"/>
                  <wp:docPr id="4" name="Picture 4"/>
                  <wp:cNvGraphicFramePr>
                    <a:graphicFrameLocks noChangeAspect="1"/>
                  </wp:cNvGraphicFramePr>
                  <a:graphic>
                    <a:graphicData uri="http://schemas.openxmlformats.org/drawingml/2006/picture">
                      <pic:pic>
                        <pic:nvPicPr>
                          <pic:cNvPr id="0" name="motor-4-documento.png"/>
                          <pic:cNvPicPr/>
                        </pic:nvPicPr>
                        <pic:blipFill>
                          <a:blip r:embed="rId30"/>
                          <a:stretch>
                            <a:fillRect/>
                          </a:stretch>
                        </pic:blipFill>
                        <pic:spPr>
                          <a:xfrm>
                            <a:off x="0" y="0"/>
                            <a:ext cx="1655946" cy="2943904"/>
                          </a:xfrm>
                          <a:prstGeom prst="rect"/>
                        </pic:spPr>
                      </pic:pic>
                    </a:graphicData>
                  </a:graphic>
                </wp:inline>
              </w:drawing>
            </w:r>
          </w:p>
          <w:p>
            <w:pPr>
              <w:jc w:val="center"/>
            </w:pPr>
            <w:r>
              <w:rPr>
                <w:b/>
                <w:color w:val="57534E"/>
                <w:sz w:val="16"/>
              </w:rPr>
              <w:t xml:space="preserve">Figura 4. </w:t>
            </w:r>
            <w:r>
              <w:rPr>
                <w:color w:val="57534E"/>
                <w:sz w:val="16"/>
              </w:rPr>
              <w:t>Documento de la remisión despachada, con su QR.</w:t>
            </w:r>
          </w:p>
        </w:tc>
        <w:tc>
          <w:tcPr>
            <w:tcW w:type="dxa" w:w="3061"/>
          </w:tcPr>
          <w:p>
            <w:pPr>
              <w:jc w:val="center"/>
            </w:pPr>
            <w:r>
              <w:drawing>
                <wp:inline xmlns:a="http://schemas.openxmlformats.org/drawingml/2006/main" xmlns:pic="http://schemas.openxmlformats.org/drawingml/2006/picture">
                  <wp:extent cx="1655946" cy="2943904"/>
                  <wp:docPr id="5" name="Picture 5"/>
                  <wp:cNvGraphicFramePr>
                    <a:graphicFrameLocks noChangeAspect="1"/>
                  </wp:cNvGraphicFramePr>
                  <a:graphic>
                    <a:graphicData uri="http://schemas.openxmlformats.org/drawingml/2006/picture">
                      <pic:pic>
                        <pic:nvPicPr>
                          <pic:cNvPr id="0" name="motor-5-recibir.png"/>
                          <pic:cNvPicPr/>
                        </pic:nvPicPr>
                        <pic:blipFill>
                          <a:blip r:embed="rId31"/>
                          <a:stretch>
                            <a:fillRect/>
                          </a:stretch>
                        </pic:blipFill>
                        <pic:spPr>
                          <a:xfrm>
                            <a:off x="0" y="0"/>
                            <a:ext cx="1655946" cy="2943904"/>
                          </a:xfrm>
                          <a:prstGeom prst="rect"/>
                        </pic:spPr>
                      </pic:pic>
                    </a:graphicData>
                  </a:graphic>
                </wp:inline>
              </w:drawing>
            </w:r>
          </w:p>
          <w:p>
            <w:pPr>
              <w:jc w:val="center"/>
            </w:pPr>
            <w:r>
              <w:rPr>
                <w:b/>
                <w:color w:val="57534E"/>
                <w:sz w:val="16"/>
              </w:rPr>
              <w:t xml:space="preserve">Figura 5. </w:t>
            </w:r>
            <w:r>
              <w:rPr>
                <w:color w:val="57534E"/>
                <w:sz w:val="16"/>
              </w:rPr>
              <w:t>Recibir en la zona (C13): lo que llegó, la foto y la nota.</w:t>
            </w:r>
          </w:p>
        </w:tc>
        <w:tc>
          <w:tcPr>
            <w:tcW w:type="dxa" w:w="3061"/>
          </w:tcPr>
          <w:p>
            <w:pPr>
              <w:jc w:val="center"/>
            </w:pPr>
            <w:r>
              <w:drawing>
                <wp:inline xmlns:a="http://schemas.openxmlformats.org/drawingml/2006/main" xmlns:pic="http://schemas.openxmlformats.org/drawingml/2006/picture">
                  <wp:extent cx="1655946" cy="2943904"/>
                  <wp:docPr id="6" name="Picture 6"/>
                  <wp:cNvGraphicFramePr>
                    <a:graphicFrameLocks noChangeAspect="1"/>
                  </wp:cNvGraphicFramePr>
                  <a:graphic>
                    <a:graphicData uri="http://schemas.openxmlformats.org/drawingml/2006/picture">
                      <pic:pic>
                        <pic:nvPicPr>
                          <pic:cNvPr id="0" name="motor-6-recibida.png"/>
                          <pic:cNvPicPr/>
                        </pic:nvPicPr>
                        <pic:blipFill>
                          <a:blip r:embed="rId32"/>
                          <a:stretch>
                            <a:fillRect/>
                          </a:stretch>
                        </pic:blipFill>
                        <pic:spPr>
                          <a:xfrm>
                            <a:off x="0" y="0"/>
                            <a:ext cx="1655946" cy="2943904"/>
                          </a:xfrm>
                          <a:prstGeom prst="rect"/>
                        </pic:spPr>
                      </pic:pic>
                    </a:graphicData>
                  </a:graphic>
                </wp:inline>
              </w:drawing>
            </w:r>
          </w:p>
          <w:p>
            <w:pPr>
              <w:jc w:val="center"/>
            </w:pPr>
            <w:r>
              <w:rPr>
                <w:b/>
                <w:color w:val="57534E"/>
                <w:sz w:val="16"/>
              </w:rPr>
              <w:t xml:space="preserve">Figura 6. </w:t>
            </w:r>
            <w:r>
              <w:rPr>
                <w:color w:val="57534E"/>
                <w:sz w:val="16"/>
              </w:rPr>
              <w:t>Confirmación de la remisión recibida.</w:t>
            </w:r>
          </w:p>
        </w:tc>
      </w:tr>
    </w:tbl>
    <w:p>
      <w:pPr>
        <w:spacing w:after="80"/>
      </w:pPr>
    </w:p>
    <w:p>
      <w:pPr>
        <w:pStyle w:val="Ttulo2"/>
      </w:pPr>
      <w:r>
        <w:t>1b. Flujo de las causas verificadas</w:t>
      </w:r>
    </w:p>
    <w:p>
      <w:r>
        <w:t>Historias HU-02 Donar a una causa real y HU-15 No dirigir donantes a una estafa.</w:t>
      </w:r>
    </w:p>
    <w:p>
      <w:pPr>
        <w:pStyle w:val="Vineta"/>
      </w:pPr>
      <w:r>
        <w:t xml:space="preserve">1. </w:t>
      </w:r>
      <w:r>
        <w:t xml:space="preserve">Cualquier persona, sin cuenta, abre </w:t>
      </w:r>
      <w:r>
        <w:rPr>
          <w:b/>
        </w:rPr>
        <w:t>Causas</w:t>
      </w:r>
      <w:r>
        <w:t xml:space="preserve"> (P3). Solo aparecen causas de entidades verificadas, cada una con el sello y la fecha de verificación.</w:t>
      </w:r>
    </w:p>
    <w:p>
      <w:pPr>
        <w:pStyle w:val="Vineta"/>
      </w:pPr>
      <w:r>
        <w:t xml:space="preserve">2. </w:t>
      </w:r>
      <w:r>
        <w:t xml:space="preserve">La </w:t>
      </w:r>
      <w:r>
        <w:rPr>
          <w:b/>
        </w:rPr>
        <w:t>ficha de la causa</w:t>
      </w:r>
      <w:r>
        <w:t xml:space="preserve"> (P4) muestra la entidad, el paso a paso para donar y el enlace al sitio oficial.</w:t>
      </w:r>
    </w:p>
    <w:p>
      <w:pPr>
        <w:pStyle w:val="Vineta"/>
      </w:pPr>
      <w:r>
        <w:t xml:space="preserve">3. </w:t>
      </w:r>
      <w:r>
        <w:t>Al tocar «Ir al sitio oficial», una hoja avisa que la persona sale de Acopio y que Acopio no recibe dinero ni ve sus pagos. Solo después de confirmar se abre el sitio.</w:t>
      </w:r>
    </w:p>
    <w:p>
      <w:pPr>
        <w:pStyle w:val="Vineta"/>
        <w:keepNext/>
      </w:pPr>
      <w:r>
        <w:t xml:space="preserve">4. </w:t>
      </w:r>
      <w:r>
        <w:t>En la consola, el Administrador verifica la entidad (C15). El botón de verificar empieza inactivo hasta marcar la casilla del aviso de seguridad. Después publica la causa (C22), donde el formulario solo ofrece entidades verificadas. Si a una entidad se le quita la verificación, sus causas pasan a «atendidas» y la ficha pública pierde el sello y el enlace.</w:t>
      </w:r>
    </w:p>
    <w:tbl>
      <w:tblPr>
        <w:tblW w:type="auto" w:w="0"/>
        <w:jc w:val="center"/>
        <w:tblLook w:firstColumn="1" w:firstRow="1" w:lastColumn="0" w:lastRow="0" w:noHBand="0" w:noVBand="1" w:val="04A0"/>
      </w:tblPr>
      <w:tblGrid>
        <w:gridCol w:w="3061"/>
        <w:gridCol w:w="3061"/>
        <w:gridCol w:w="3061"/>
      </w:tblGrid>
      <w:tr>
        <w:trPr>
          <w:cantSplit w:val="true"/>
        </w:trPr>
        <w:tc>
          <w:tcPr>
            <w:tcW w:type="dxa" w:w="3061"/>
          </w:tcPr>
          <w:p>
            <w:pPr>
              <w:jc w:val="center"/>
            </w:pPr>
            <w:r>
              <w:drawing>
                <wp:inline xmlns:a="http://schemas.openxmlformats.org/drawingml/2006/main" xmlns:pic="http://schemas.openxmlformats.org/drawingml/2006/picture">
                  <wp:extent cx="1655946" cy="2943904"/>
                  <wp:docPr id="7" name="Picture 7"/>
                  <wp:cNvGraphicFramePr>
                    <a:graphicFrameLocks noChangeAspect="1"/>
                  </wp:cNvGraphicFramePr>
                  <a:graphic>
                    <a:graphicData uri="http://schemas.openxmlformats.org/drawingml/2006/picture">
                      <pic:pic>
                        <pic:nvPicPr>
                          <pic:cNvPr id="0" name="causas-1-directorio.png"/>
                          <pic:cNvPicPr/>
                        </pic:nvPicPr>
                        <pic:blipFill>
                          <a:blip r:embed="rId33"/>
                          <a:stretch>
                            <a:fillRect/>
                          </a:stretch>
                        </pic:blipFill>
                        <pic:spPr>
                          <a:xfrm>
                            <a:off x="0" y="0"/>
                            <a:ext cx="1655946" cy="2943904"/>
                          </a:xfrm>
                          <a:prstGeom prst="rect"/>
                        </pic:spPr>
                      </pic:pic>
                    </a:graphicData>
                  </a:graphic>
                </wp:inline>
              </w:drawing>
            </w:r>
          </w:p>
          <w:p>
            <w:pPr>
              <w:jc w:val="center"/>
            </w:pPr>
            <w:r>
              <w:rPr>
                <w:b/>
                <w:color w:val="57534E"/>
                <w:sz w:val="16"/>
              </w:rPr>
              <w:t xml:space="preserve">Figura 7. </w:t>
            </w:r>
            <w:r>
              <w:rPr>
                <w:color w:val="57534E"/>
                <w:sz w:val="16"/>
              </w:rPr>
              <w:t>Directorio de causas (P3), solo de entidades verificadas.</w:t>
            </w:r>
          </w:p>
        </w:tc>
        <w:tc>
          <w:tcPr>
            <w:tcW w:type="dxa" w:w="3061"/>
          </w:tcPr>
          <w:p>
            <w:pPr>
              <w:jc w:val="center"/>
            </w:pPr>
            <w:r>
              <w:drawing>
                <wp:inline xmlns:a="http://schemas.openxmlformats.org/drawingml/2006/main" xmlns:pic="http://schemas.openxmlformats.org/drawingml/2006/picture">
                  <wp:extent cx="1655946" cy="2943904"/>
                  <wp:docPr id="8" name="Picture 8"/>
                  <wp:cNvGraphicFramePr>
                    <a:graphicFrameLocks noChangeAspect="1"/>
                  </wp:cNvGraphicFramePr>
                  <a:graphic>
                    <a:graphicData uri="http://schemas.openxmlformats.org/drawingml/2006/picture">
                      <pic:pic>
                        <pic:nvPicPr>
                          <pic:cNvPr id="0" name="causas-2-ficha.png"/>
                          <pic:cNvPicPr/>
                        </pic:nvPicPr>
                        <pic:blipFill>
                          <a:blip r:embed="rId34"/>
                          <a:stretch>
                            <a:fillRect/>
                          </a:stretch>
                        </pic:blipFill>
                        <pic:spPr>
                          <a:xfrm>
                            <a:off x="0" y="0"/>
                            <a:ext cx="1655946" cy="2943904"/>
                          </a:xfrm>
                          <a:prstGeom prst="rect"/>
                        </pic:spPr>
                      </pic:pic>
                    </a:graphicData>
                  </a:graphic>
                </wp:inline>
              </w:drawing>
            </w:r>
          </w:p>
          <w:p>
            <w:pPr>
              <w:jc w:val="center"/>
            </w:pPr>
            <w:r>
              <w:rPr>
                <w:b/>
                <w:color w:val="57534E"/>
                <w:sz w:val="16"/>
              </w:rPr>
              <w:t xml:space="preserve">Figura 8. </w:t>
            </w:r>
            <w:r>
              <w:rPr>
                <w:color w:val="57534E"/>
                <w:sz w:val="16"/>
              </w:rPr>
              <w:t>Ficha de una causa (P4), con su imagen, la entidad y el paso a paso.</w:t>
            </w:r>
          </w:p>
        </w:tc>
        <w:tc>
          <w:tcPr>
            <w:tcW w:type="dxa" w:w="3061"/>
          </w:tcPr>
          <w:p>
            <w:pPr>
              <w:jc w:val="center"/>
            </w:pPr>
            <w:r>
              <w:drawing>
                <wp:inline xmlns:a="http://schemas.openxmlformats.org/drawingml/2006/main" xmlns:pic="http://schemas.openxmlformats.org/drawingml/2006/picture">
                  <wp:extent cx="1655946" cy="2943904"/>
                  <wp:docPr id="9" name="Picture 9"/>
                  <wp:cNvGraphicFramePr>
                    <a:graphicFrameLocks noChangeAspect="1"/>
                  </wp:cNvGraphicFramePr>
                  <a:graphic>
                    <a:graphicData uri="http://schemas.openxmlformats.org/drawingml/2006/picture">
                      <pic:pic>
                        <pic:nvPicPr>
                          <pic:cNvPr id="0" name="causas-3-salida.png"/>
                          <pic:cNvPicPr/>
                        </pic:nvPicPr>
                        <pic:blipFill>
                          <a:blip r:embed="rId35"/>
                          <a:stretch>
                            <a:fillRect/>
                          </a:stretch>
                        </pic:blipFill>
                        <pic:spPr>
                          <a:xfrm>
                            <a:off x="0" y="0"/>
                            <a:ext cx="1655946" cy="2943904"/>
                          </a:xfrm>
                          <a:prstGeom prst="rect"/>
                        </pic:spPr>
                      </pic:pic>
                    </a:graphicData>
                  </a:graphic>
                </wp:inline>
              </w:drawing>
            </w:r>
          </w:p>
          <w:p>
            <w:pPr>
              <w:jc w:val="center"/>
            </w:pPr>
            <w:r>
              <w:rPr>
                <w:b/>
                <w:color w:val="57534E"/>
                <w:sz w:val="16"/>
              </w:rPr>
              <w:t xml:space="preserve">Figura 9. </w:t>
            </w:r>
            <w:r>
              <w:rPr>
                <w:color w:val="57534E"/>
                <w:sz w:val="16"/>
              </w:rPr>
              <w:t>Aviso antes de salir al sitio oficial de la entidad.</w:t>
            </w:r>
          </w:p>
        </w:tc>
      </w:tr>
    </w:tbl>
    <w:p>
      <w:pPr>
        <w:spacing w:after="80"/>
      </w:pPr>
    </w:p>
    <w:tbl>
      <w:tblPr>
        <w:tblW w:type="auto" w:w="0"/>
        <w:jc w:val="center"/>
        <w:tblLook w:firstColumn="1" w:firstRow="1" w:lastColumn="0" w:lastRow="0" w:noHBand="0" w:noVBand="1" w:val="04A0"/>
      </w:tblPr>
      <w:tblGrid>
        <w:gridCol w:w="3061"/>
        <w:gridCol w:w="3061"/>
        <w:gridCol w:w="3061"/>
      </w:tblGrid>
      <w:tr>
        <w:trPr>
          <w:cantSplit w:val="true"/>
        </w:trPr>
        <w:tc>
          <w:tcPr>
            <w:tcW w:type="dxa" w:w="3061"/>
          </w:tcPr>
          <w:p>
            <w:pPr>
              <w:jc w:val="center"/>
            </w:pPr>
            <w:r>
              <w:drawing>
                <wp:inline xmlns:a="http://schemas.openxmlformats.org/drawingml/2006/main" xmlns:pic="http://schemas.openxmlformats.org/drawingml/2006/picture">
                  <wp:extent cx="1655946" cy="2943904"/>
                  <wp:docPr id="10" name="Picture 10"/>
                  <wp:cNvGraphicFramePr>
                    <a:graphicFrameLocks noChangeAspect="1"/>
                  </wp:cNvGraphicFramePr>
                  <a:graphic>
                    <a:graphicData uri="http://schemas.openxmlformats.org/drawingml/2006/picture">
                      <pic:pic>
                        <pic:nvPicPr>
                          <pic:cNvPr id="0" name="causas-4-verificar.png"/>
                          <pic:cNvPicPr/>
                        </pic:nvPicPr>
                        <pic:blipFill>
                          <a:blip r:embed="rId36"/>
                          <a:stretch>
                            <a:fillRect/>
                          </a:stretch>
                        </pic:blipFill>
                        <pic:spPr>
                          <a:xfrm>
                            <a:off x="0" y="0"/>
                            <a:ext cx="1655946" cy="2943904"/>
                          </a:xfrm>
                          <a:prstGeom prst="rect"/>
                        </pic:spPr>
                      </pic:pic>
                    </a:graphicData>
                  </a:graphic>
                </wp:inline>
              </w:drawing>
            </w:r>
          </w:p>
          <w:p>
            <w:pPr>
              <w:jc w:val="center"/>
            </w:pPr>
            <w:r>
              <w:rPr>
                <w:b/>
                <w:color w:val="57534E"/>
                <w:sz w:val="16"/>
              </w:rPr>
              <w:t xml:space="preserve">Figura 10. </w:t>
            </w:r>
            <w:r>
              <w:rPr>
                <w:color w:val="57534E"/>
                <w:sz w:val="16"/>
              </w:rPr>
              <w:t>Verificar una entidad (C15): el botón se activa al marcar la casilla del aviso.</w:t>
            </w:r>
          </w:p>
        </w:tc>
        <w:tc>
          <w:tcPr>
            <w:tcW w:type="dxa" w:w="3061"/>
          </w:tcPr>
          <w:p>
            <w:pPr>
              <w:jc w:val="center"/>
            </w:pPr>
            <w:r>
              <w:drawing>
                <wp:inline xmlns:a="http://schemas.openxmlformats.org/drawingml/2006/main" xmlns:pic="http://schemas.openxmlformats.org/drawingml/2006/picture">
                  <wp:extent cx="1655946" cy="2943904"/>
                  <wp:docPr id="11" name="Picture 11"/>
                  <wp:cNvGraphicFramePr>
                    <a:graphicFrameLocks noChangeAspect="1"/>
                  </wp:cNvGraphicFramePr>
                  <a:graphic>
                    <a:graphicData uri="http://schemas.openxmlformats.org/drawingml/2006/picture">
                      <pic:pic>
                        <pic:nvPicPr>
                          <pic:cNvPr id="0" name="causas-5-publicar.png"/>
                          <pic:cNvPicPr/>
                        </pic:nvPicPr>
                        <pic:blipFill>
                          <a:blip r:embed="rId37"/>
                          <a:stretch>
                            <a:fillRect/>
                          </a:stretch>
                        </pic:blipFill>
                        <pic:spPr>
                          <a:xfrm>
                            <a:off x="0" y="0"/>
                            <a:ext cx="1655946" cy="2943904"/>
                          </a:xfrm>
                          <a:prstGeom prst="rect"/>
                        </pic:spPr>
                      </pic:pic>
                    </a:graphicData>
                  </a:graphic>
                </wp:inline>
              </w:drawing>
            </w:r>
          </w:p>
          <w:p>
            <w:pPr>
              <w:jc w:val="center"/>
            </w:pPr>
            <w:r>
              <w:rPr>
                <w:b/>
                <w:color w:val="57534E"/>
                <w:sz w:val="16"/>
              </w:rPr>
              <w:t xml:space="preserve">Figura 11. </w:t>
            </w:r>
            <w:r>
              <w:rPr>
                <w:color w:val="57534E"/>
                <w:sz w:val="16"/>
              </w:rPr>
              <w:t>Publicar una causa (C22): paso a paso, enlace oficial y fecha de cierre.</w:t>
            </w:r>
          </w:p>
        </w:tc>
        <w:tc>
          <w:tcPr>
            <w:tcW w:type="dxa" w:w="3061"/>
          </w:tcPr>
          <w:p>
            <w:pPr>
              <w:jc w:val="center"/>
            </w:pPr>
            <w:r>
              <w:drawing>
                <wp:inline xmlns:a="http://schemas.openxmlformats.org/drawingml/2006/main" xmlns:pic="http://schemas.openxmlformats.org/drawingml/2006/picture">
                  <wp:extent cx="1655946" cy="2943904"/>
                  <wp:docPr id="12" name="Picture 12"/>
                  <wp:cNvGraphicFramePr>
                    <a:graphicFrameLocks noChangeAspect="1"/>
                  </wp:cNvGraphicFramePr>
                  <a:graphic>
                    <a:graphicData uri="http://schemas.openxmlformats.org/drawingml/2006/picture">
                      <pic:pic>
                        <pic:nvPicPr>
                          <pic:cNvPr id="0" name="causas-6-sin-verificar.png"/>
                          <pic:cNvPicPr/>
                        </pic:nvPicPr>
                        <pic:blipFill>
                          <a:blip r:embed="rId38"/>
                          <a:stretch>
                            <a:fillRect/>
                          </a:stretch>
                        </pic:blipFill>
                        <pic:spPr>
                          <a:xfrm>
                            <a:off x="0" y="0"/>
                            <a:ext cx="1655946" cy="2943904"/>
                          </a:xfrm>
                          <a:prstGeom prst="rect"/>
                        </pic:spPr>
                      </pic:pic>
                    </a:graphicData>
                  </a:graphic>
                </wp:inline>
              </w:drawing>
            </w:r>
          </w:p>
          <w:p>
            <w:pPr>
              <w:jc w:val="center"/>
            </w:pPr>
            <w:r>
              <w:rPr>
                <w:b/>
                <w:color w:val="57534E"/>
                <w:sz w:val="16"/>
              </w:rPr>
              <w:t xml:space="preserve">Figura 12. </w:t>
            </w:r>
            <w:r>
              <w:rPr>
                <w:color w:val="57534E"/>
                <w:sz w:val="16"/>
              </w:rPr>
              <w:t>Ficha de una causa cuya entidad perdió la verificación: sin sello ni enlace.</w:t>
            </w:r>
          </w:p>
        </w:tc>
      </w:tr>
    </w:tbl>
    <w:p>
      <w:pPr>
        <w:spacing w:after="80"/>
      </w:pPr>
    </w:p>
    <w:tbl>
      <w:tblPr>
        <w:tblW w:type="auto" w:w="0"/>
        <w:jc w:val="center"/>
        <w:tblLook w:firstColumn="1" w:firstRow="1" w:lastColumn="0" w:lastRow="0" w:noHBand="0" w:noVBand="1" w:val="04A0"/>
      </w:tblPr>
      <w:tblGrid>
        <w:gridCol w:w="3061"/>
        <w:gridCol w:w="3061"/>
        <w:gridCol w:w="3061"/>
      </w:tblGrid>
      <w:tr>
        <w:trPr>
          <w:cantSplit w:val="true"/>
        </w:trPr>
        <w:tc>
          <w:tcPr>
            <w:tcW w:type="dxa" w:w="3061"/>
          </w:tcPr>
          <w:p>
            <w:pPr>
              <w:jc w:val="center"/>
            </w:pPr>
            <w:r>
              <w:drawing>
                <wp:inline xmlns:a="http://schemas.openxmlformats.org/drawingml/2006/main" xmlns:pic="http://schemas.openxmlformats.org/drawingml/2006/picture">
                  <wp:extent cx="1655946" cy="2943904"/>
                  <wp:docPr id="13" name="Picture 13"/>
                  <wp:cNvGraphicFramePr>
                    <a:graphicFrameLocks noChangeAspect="1"/>
                  </wp:cNvGraphicFramePr>
                  <a:graphic>
                    <a:graphicData uri="http://schemas.openxmlformats.org/drawingml/2006/picture">
                      <pic:pic>
                        <pic:nvPicPr>
                          <pic:cNvPr id="0" name="causas-7-plataformas.png"/>
                          <pic:cNvPicPr/>
                        </pic:nvPicPr>
                        <pic:blipFill>
                          <a:blip r:embed="rId39"/>
                          <a:stretch>
                            <a:fillRect/>
                          </a:stretch>
                        </pic:blipFill>
                        <pic:spPr>
                          <a:xfrm>
                            <a:off x="0" y="0"/>
                            <a:ext cx="1655946" cy="2943904"/>
                          </a:xfrm>
                          <a:prstGeom prst="rect"/>
                        </pic:spPr>
                      </pic:pic>
                    </a:graphicData>
                  </a:graphic>
                </wp:inline>
              </w:drawing>
            </w:r>
          </w:p>
          <w:p>
            <w:pPr>
              <w:jc w:val="center"/>
            </w:pPr>
            <w:r>
              <w:rPr>
                <w:b/>
                <w:color w:val="57534E"/>
                <w:sz w:val="16"/>
              </w:rPr>
              <w:t xml:space="preserve">Figura 13. </w:t>
            </w:r>
            <w:r>
              <w:rPr>
                <w:color w:val="57534E"/>
                <w:sz w:val="16"/>
              </w:rPr>
              <w:t>Al final de Causas, otras plataformas que ayudan, con la foto de su sitio. Acopio no las verifica.</w:t>
            </w:r>
          </w:p>
        </w:tc>
        <w:tc>
          <w:tcPr>
            <w:tcW w:type="dxa" w:w="3061"/>
          </w:tcPr>
          <w:p/>
        </w:tc>
        <w:tc>
          <w:tcPr>
            <w:tcW w:type="dxa" w:w="3061"/>
          </w:tcPr>
          <w:p/>
        </w:tc>
      </w:tr>
    </w:tbl>
    <w:p>
      <w:pPr>
        <w:spacing w:after="80"/>
      </w:pPr>
    </w:p>
    <w:p>
      <w:pPr>
        <w:pStyle w:val="Ttulo2"/>
      </w:pPr>
      <w:r>
        <w:t>1c. Otras pantallas del incremento</w:t>
      </w:r>
    </w:p>
    <w:p>
      <w:pPr>
        <w:keepNext/>
      </w:pPr>
      <w:r>
        <w:t>El incremento tiene más pantallas que las de los dos flujos. Estas también leen la base de la demo; la portada ya muestra el balance de recepción con datos de inventario.</w:t>
      </w:r>
    </w:p>
    <w:tbl>
      <w:tblPr>
        <w:tblW w:type="auto" w:w="0"/>
        <w:jc w:val="center"/>
        <w:tblLook w:firstColumn="1" w:firstRow="1" w:lastColumn="0" w:lastRow="0" w:noHBand="0" w:noVBand="1" w:val="04A0"/>
      </w:tblPr>
      <w:tblGrid>
        <w:gridCol w:w="3061"/>
        <w:gridCol w:w="3061"/>
        <w:gridCol w:w="3061"/>
      </w:tblGrid>
      <w:tr>
        <w:trPr>
          <w:cantSplit w:val="true"/>
        </w:trPr>
        <w:tc>
          <w:tcPr>
            <w:tcW w:type="dxa" w:w="3061"/>
          </w:tcPr>
          <w:p>
            <w:pPr>
              <w:jc w:val="center"/>
            </w:pPr>
            <w:r>
              <w:drawing>
                <wp:inline xmlns:a="http://schemas.openxmlformats.org/drawingml/2006/main" xmlns:pic="http://schemas.openxmlformats.org/drawingml/2006/picture">
                  <wp:extent cx="1655946" cy="3583637"/>
                  <wp:docPr id="14" name="Picture 14"/>
                  <wp:cNvGraphicFramePr>
                    <a:graphicFrameLocks noChangeAspect="1"/>
                  </wp:cNvGraphicFramePr>
                  <a:graphic>
                    <a:graphicData uri="http://schemas.openxmlformats.org/drawingml/2006/picture">
                      <pic:pic>
                        <pic:nvPicPr>
                          <pic:cNvPr id="0" name="portada-balance.png"/>
                          <pic:cNvPicPr/>
                        </pic:nvPicPr>
                        <pic:blipFill>
                          <a:blip r:embed="rId40"/>
                          <a:stretch>
                            <a:fillRect/>
                          </a:stretch>
                        </pic:blipFill>
                        <pic:spPr>
                          <a:xfrm>
                            <a:off x="0" y="0"/>
                            <a:ext cx="1655946" cy="3583637"/>
                          </a:xfrm>
                          <a:prstGeom prst="rect"/>
                        </pic:spPr>
                      </pic:pic>
                    </a:graphicData>
                  </a:graphic>
                </wp:inline>
              </w:drawing>
            </w:r>
          </w:p>
          <w:p>
            <w:pPr>
              <w:jc w:val="center"/>
            </w:pPr>
            <w:r>
              <w:rPr>
                <w:b/>
                <w:color w:val="57534E"/>
                <w:sz w:val="16"/>
              </w:rPr>
              <w:t xml:space="preserve">Figura 14. </w:t>
            </w:r>
            <w:r>
              <w:rPr>
                <w:color w:val="57534E"/>
                <w:sz w:val="16"/>
              </w:rPr>
              <w:t>Portada (P1): el balance dice qué hace falta y qué no traer.</w:t>
            </w:r>
          </w:p>
        </w:tc>
        <w:tc>
          <w:tcPr>
            <w:tcW w:type="dxa" w:w="3061"/>
          </w:tcPr>
          <w:p>
            <w:pPr>
              <w:jc w:val="center"/>
            </w:pPr>
            <w:r>
              <w:drawing>
                <wp:inline xmlns:a="http://schemas.openxmlformats.org/drawingml/2006/main" xmlns:pic="http://schemas.openxmlformats.org/drawingml/2006/picture">
                  <wp:extent cx="1655946" cy="2943904"/>
                  <wp:docPr id="15" name="Picture 15"/>
                  <wp:cNvGraphicFramePr>
                    <a:graphicFrameLocks noChangeAspect="1"/>
                  </wp:cNvGraphicFramePr>
                  <a:graphic>
                    <a:graphicData uri="http://schemas.openxmlformats.org/drawingml/2006/picture">
                      <pic:pic>
                        <pic:nvPicPr>
                          <pic:cNvPr id="0" name="otras-mapa-puntos.png"/>
                          <pic:cNvPicPr/>
                        </pic:nvPicPr>
                        <pic:blipFill>
                          <a:blip r:embed="rId41"/>
                          <a:stretch>
                            <a:fillRect/>
                          </a:stretch>
                        </pic:blipFill>
                        <pic:spPr>
                          <a:xfrm>
                            <a:off x="0" y="0"/>
                            <a:ext cx="1655946" cy="2943904"/>
                          </a:xfrm>
                          <a:prstGeom prst="rect"/>
                        </pic:spPr>
                      </pic:pic>
                    </a:graphicData>
                  </a:graphic>
                </wp:inline>
              </w:drawing>
            </w:r>
          </w:p>
          <w:p>
            <w:pPr>
              <w:jc w:val="center"/>
            </w:pPr>
            <w:r>
              <w:rPr>
                <w:b/>
                <w:color w:val="57534E"/>
                <w:sz w:val="16"/>
              </w:rPr>
              <w:t xml:space="preserve">Figura 15. </w:t>
            </w:r>
            <w:r>
              <w:rPr>
                <w:color w:val="57534E"/>
                <w:sz w:val="16"/>
              </w:rPr>
              <w:t>Mapa (P5): los acopios en verde y los puntos de RedAcopio en blanco, agrupados por tipo.</w:t>
            </w:r>
          </w:p>
        </w:tc>
        <w:tc>
          <w:tcPr>
            <w:tcW w:type="dxa" w:w="3061"/>
          </w:tcPr>
          <w:p>
            <w:pPr>
              <w:jc w:val="center"/>
            </w:pPr>
            <w:r>
              <w:drawing>
                <wp:inline xmlns:a="http://schemas.openxmlformats.org/drawingml/2006/main" xmlns:pic="http://schemas.openxmlformats.org/drawingml/2006/picture">
                  <wp:extent cx="1655946" cy="2943904"/>
                  <wp:docPr id="16" name="Picture 16"/>
                  <wp:cNvGraphicFramePr>
                    <a:graphicFrameLocks noChangeAspect="1"/>
                  </wp:cNvGraphicFramePr>
                  <a:graphic>
                    <a:graphicData uri="http://schemas.openxmlformats.org/drawingml/2006/picture">
                      <pic:pic>
                        <pic:nvPicPr>
                          <pic:cNvPr id="0" name="otras-mapa-zona.png"/>
                          <pic:cNvPicPr/>
                        </pic:nvPicPr>
                        <pic:blipFill>
                          <a:blip r:embed="rId42"/>
                          <a:stretch>
                            <a:fillRect/>
                          </a:stretch>
                        </pic:blipFill>
                        <pic:spPr>
                          <a:xfrm>
                            <a:off x="0" y="0"/>
                            <a:ext cx="1655946" cy="2943904"/>
                          </a:xfrm>
                          <a:prstGeom prst="rect"/>
                        </pic:spPr>
                      </pic:pic>
                    </a:graphicData>
                  </a:graphic>
                </wp:inline>
              </w:drawing>
            </w:r>
          </w:p>
          <w:p>
            <w:pPr>
              <w:jc w:val="center"/>
            </w:pPr>
            <w:r>
              <w:rPr>
                <w:b/>
                <w:color w:val="57534E"/>
                <w:sz w:val="16"/>
              </w:rPr>
              <w:t xml:space="preserve">Figura 16. </w:t>
            </w:r>
            <w:r>
              <w:rPr>
                <w:color w:val="57534E"/>
                <w:sz w:val="16"/>
              </w:rPr>
              <w:t>Mapa (P5): una zona con necesidad y lo que reportó.</w:t>
            </w:r>
          </w:p>
        </w:tc>
      </w:tr>
    </w:tbl>
    <w:p>
      <w:pPr>
        <w:spacing w:after="80"/>
      </w:pPr>
    </w:p>
    <w:tbl>
      <w:tblPr>
        <w:tblW w:type="auto" w:w="0"/>
        <w:jc w:val="center"/>
        <w:tblLook w:firstColumn="1" w:firstRow="1" w:lastColumn="0" w:lastRow="0" w:noHBand="0" w:noVBand="1" w:val="04A0"/>
      </w:tblPr>
      <w:tblGrid>
        <w:gridCol w:w="3061"/>
        <w:gridCol w:w="3061"/>
        <w:gridCol w:w="3061"/>
      </w:tblGrid>
      <w:tr>
        <w:trPr>
          <w:cantSplit w:val="true"/>
        </w:trPr>
        <w:tc>
          <w:tcPr>
            <w:tcW w:type="dxa" w:w="3061"/>
          </w:tcPr>
          <w:p>
            <w:pPr>
              <w:jc w:val="center"/>
            </w:pPr>
            <w:r>
              <w:drawing>
                <wp:inline xmlns:a="http://schemas.openxmlformats.org/drawingml/2006/main" xmlns:pic="http://schemas.openxmlformats.org/drawingml/2006/picture">
                  <wp:extent cx="1655946" cy="2943904"/>
                  <wp:docPr id="17" name="Picture 17"/>
                  <wp:cNvGraphicFramePr>
                    <a:graphicFrameLocks noChangeAspect="1"/>
                  </wp:cNvGraphicFramePr>
                  <a:graphic>
                    <a:graphicData uri="http://schemas.openxmlformats.org/drawingml/2006/picture">
                      <pic:pic>
                        <pic:nvPicPr>
                          <pic:cNvPr id="0" name="otras-mi-zona.png"/>
                          <pic:cNvPicPr/>
                        </pic:nvPicPr>
                        <pic:blipFill>
                          <a:blip r:embed="rId43"/>
                          <a:stretch>
                            <a:fillRect/>
                          </a:stretch>
                        </pic:blipFill>
                        <pic:spPr>
                          <a:xfrm>
                            <a:off x="0" y="0"/>
                            <a:ext cx="1655946" cy="2943904"/>
                          </a:xfrm>
                          <a:prstGeom prst="rect"/>
                        </pic:spPr>
                      </pic:pic>
                    </a:graphicData>
                  </a:graphic>
                </wp:inline>
              </w:drawing>
            </w:r>
          </w:p>
          <w:p>
            <w:pPr>
              <w:jc w:val="center"/>
            </w:pPr>
            <w:r>
              <w:rPr>
                <w:b/>
                <w:color w:val="57534E"/>
                <w:sz w:val="16"/>
              </w:rPr>
              <w:t xml:space="preserve">Figura 17. </w:t>
            </w:r>
            <w:r>
              <w:rPr>
                <w:color w:val="57534E"/>
                <w:sz w:val="16"/>
              </w:rPr>
              <w:t>«Mi zona» del Receptor: lo que está por recibir.</w:t>
            </w:r>
          </w:p>
        </w:tc>
        <w:tc>
          <w:tcPr>
            <w:tcW w:type="dxa" w:w="3061"/>
          </w:tcPr>
          <w:p>
            <w:pPr>
              <w:jc w:val="center"/>
            </w:pPr>
            <w:r>
              <w:drawing>
                <wp:inline xmlns:a="http://schemas.openxmlformats.org/drawingml/2006/main" xmlns:pic="http://schemas.openxmlformats.org/drawingml/2006/picture">
                  <wp:extent cx="1655946" cy="2943904"/>
                  <wp:docPr id="18" name="Picture 18"/>
                  <wp:cNvGraphicFramePr>
                    <a:graphicFrameLocks noChangeAspect="1"/>
                  </wp:cNvGraphicFramePr>
                  <a:graphic>
                    <a:graphicData uri="http://schemas.openxmlformats.org/drawingml/2006/picture">
                      <pic:pic>
                        <pic:nvPicPr>
                          <pic:cNvPr id="0" name="otras-voluntariado.png"/>
                          <pic:cNvPicPr/>
                        </pic:nvPicPr>
                        <pic:blipFill>
                          <a:blip r:embed="rId44"/>
                          <a:stretch>
                            <a:fillRect/>
                          </a:stretch>
                        </pic:blipFill>
                        <pic:spPr>
                          <a:xfrm>
                            <a:off x="0" y="0"/>
                            <a:ext cx="1655946" cy="2943904"/>
                          </a:xfrm>
                          <a:prstGeom prst="rect"/>
                        </pic:spPr>
                      </pic:pic>
                    </a:graphicData>
                  </a:graphic>
                </wp:inline>
              </w:drawing>
            </w:r>
          </w:p>
          <w:p>
            <w:pPr>
              <w:jc w:val="center"/>
            </w:pPr>
            <w:r>
              <w:rPr>
                <w:b/>
                <w:color w:val="57534E"/>
                <w:sz w:val="16"/>
              </w:rPr>
              <w:t xml:space="preserve">Figura 18. </w:t>
            </w:r>
            <w:r>
              <w:rPr>
                <w:color w:val="57534E"/>
                <w:sz w:val="16"/>
              </w:rPr>
              <w:t>Voluntariado (P7): jornadas por día con sus cupos reservados.</w:t>
            </w:r>
          </w:p>
        </w:tc>
        <w:tc>
          <w:tcPr>
            <w:tcW w:type="dxa" w:w="3061"/>
          </w:tcPr>
          <w:p>
            <w:pPr>
              <w:jc w:val="center"/>
            </w:pPr>
            <w:r>
              <w:drawing>
                <wp:inline xmlns:a="http://schemas.openxmlformats.org/drawingml/2006/main" xmlns:pic="http://schemas.openxmlformats.org/drawingml/2006/picture">
                  <wp:extent cx="1655946" cy="2943904"/>
                  <wp:docPr id="19" name="Picture 19"/>
                  <wp:cNvGraphicFramePr>
                    <a:graphicFrameLocks noChangeAspect="1"/>
                  </wp:cNvGraphicFramePr>
                  <a:graphic>
                    <a:graphicData uri="http://schemas.openxmlformats.org/drawingml/2006/picture">
                      <pic:pic>
                        <pic:nvPicPr>
                          <pic:cNvPr id="0" name="otras-reservar.png"/>
                          <pic:cNvPicPr/>
                        </pic:nvPicPr>
                        <pic:blipFill>
                          <a:blip r:embed="rId45"/>
                          <a:stretch>
                            <a:fillRect/>
                          </a:stretch>
                        </pic:blipFill>
                        <pic:spPr>
                          <a:xfrm>
                            <a:off x="0" y="0"/>
                            <a:ext cx="1655946" cy="2943904"/>
                          </a:xfrm>
                          <a:prstGeom prst="rect"/>
                        </pic:spPr>
                      </pic:pic>
                    </a:graphicData>
                  </a:graphic>
                </wp:inline>
              </w:drawing>
            </w:r>
          </w:p>
          <w:p>
            <w:pPr>
              <w:jc w:val="center"/>
            </w:pPr>
            <w:r>
              <w:rPr>
                <w:b/>
                <w:color w:val="57534E"/>
                <w:sz w:val="16"/>
              </w:rPr>
              <w:t xml:space="preserve">Figura 19. </w:t>
            </w:r>
            <w:r>
              <w:rPr>
                <w:color w:val="57534E"/>
                <w:sz w:val="16"/>
              </w:rPr>
              <w:t>Reservar un cupo, con el consentimiento de los datos.</w:t>
            </w:r>
          </w:p>
        </w:tc>
      </w:tr>
    </w:tbl>
    <w:p>
      <w:pPr>
        <w:spacing w:after="80"/>
      </w:pPr>
    </w:p>
    <w:tbl>
      <w:tblPr>
        <w:tblW w:type="auto" w:w="0"/>
        <w:jc w:val="center"/>
        <w:tblLook w:firstColumn="1" w:firstRow="1" w:lastColumn="0" w:lastRow="0" w:noHBand="0" w:noVBand="1" w:val="04A0"/>
      </w:tblPr>
      <w:tblGrid>
        <w:gridCol w:w="3061"/>
        <w:gridCol w:w="3061"/>
        <w:gridCol w:w="3061"/>
      </w:tblGrid>
      <w:tr>
        <w:trPr>
          <w:cantSplit w:val="true"/>
        </w:trPr>
        <w:tc>
          <w:tcPr>
            <w:tcW w:type="dxa" w:w="3061"/>
          </w:tcPr>
          <w:p>
            <w:pPr>
              <w:jc w:val="center"/>
            </w:pPr>
            <w:r>
              <w:drawing>
                <wp:inline xmlns:a="http://schemas.openxmlformats.org/drawingml/2006/main" xmlns:pic="http://schemas.openxmlformats.org/drawingml/2006/picture">
                  <wp:extent cx="1655946" cy="2943904"/>
                  <wp:docPr id="20" name="Picture 20"/>
                  <wp:cNvGraphicFramePr>
                    <a:graphicFrameLocks noChangeAspect="1"/>
                  </wp:cNvGraphicFramePr>
                  <a:graphic>
                    <a:graphicData uri="http://schemas.openxmlformats.org/drawingml/2006/picture">
                      <pic:pic>
                        <pic:nvPicPr>
                          <pic:cNvPr id="0" name="otras-mi-reserva.png"/>
                          <pic:cNvPicPr/>
                        </pic:nvPicPr>
                        <pic:blipFill>
                          <a:blip r:embed="rId46"/>
                          <a:stretch>
                            <a:fillRect/>
                          </a:stretch>
                        </pic:blipFill>
                        <pic:spPr>
                          <a:xfrm>
                            <a:off x="0" y="0"/>
                            <a:ext cx="1655946" cy="2943904"/>
                          </a:xfrm>
                          <a:prstGeom prst="rect"/>
                        </pic:spPr>
                      </pic:pic>
                    </a:graphicData>
                  </a:graphic>
                </wp:inline>
              </w:drawing>
            </w:r>
          </w:p>
          <w:p>
            <w:pPr>
              <w:jc w:val="center"/>
            </w:pPr>
            <w:r>
              <w:rPr>
                <w:b/>
                <w:color w:val="57534E"/>
                <w:sz w:val="16"/>
              </w:rPr>
              <w:t xml:space="preserve">Figura 20. </w:t>
            </w:r>
            <w:r>
              <w:rPr>
                <w:color w:val="57534E"/>
                <w:sz w:val="16"/>
              </w:rPr>
              <w:t>La reserva (P8): código, jornada y cómo llegar.</w:t>
            </w:r>
          </w:p>
        </w:tc>
        <w:tc>
          <w:tcPr>
            <w:tcW w:type="dxa" w:w="3061"/>
          </w:tcPr>
          <w:p/>
        </w:tc>
        <w:tc>
          <w:tcPr>
            <w:tcW w:type="dxa" w:w="3061"/>
          </w:tcPr>
          <w:p/>
        </w:tc>
      </w:tr>
    </w:tbl>
    <w:p>
      <w:pPr>
        <w:spacing w:after="80"/>
      </w:pPr>
    </w:p>
    <w:p>
      <w:pPr>
        <w:sectPr>
          <w:footerReference w:type="default" r:id="rId8"/>
          <w:pgSz w:w="11906" w:h="16838"/>
          <w:pgMar w:top="1247" w:right="1361" w:bottom="1134" w:left="1361" w:header="720" w:footer="720" w:gutter="0"/>
          <w:cols w:space="720"/>
          <w:docGrid w:linePitch="360"/>
        </w:sectPr>
      </w:pPr>
    </w:p>
    <w:p>
      <w:pPr>
        <w:pStyle w:val="Ttulo2"/>
      </w:pPr>
      <w:r>
        <w:t>1d. Diagramas</w:t>
      </w:r>
    </w:p>
    <w:p>
      <w:r>
        <w:t xml:space="preserve">Los diagramas están al día con el código del 19 de octubre. El de paquetes es el que pide la sustentación; se dibuja a mano en </w:t>
      </w:r>
      <w:r>
        <w:rPr>
          <w:rFonts w:ascii="Consolas" w:hAnsi="Consolas"/>
          <w:sz w:val="19"/>
        </w:rPr>
        <w:t>docs/02-arquitectura/diagramas/paquetes.html</w:t>
      </w:r>
      <w:r>
        <w:t xml:space="preserve"> y sus dependencias salen de dependency-cruiser. Los modelos de datos de la red y de turnos se generan con Mermaid desde la misma carpeta; el resto de los diagramas está en la bóveda, en </w:t>
      </w:r>
      <w:r>
        <w:rPr>
          <w:rFonts w:ascii="Consolas" w:hAnsi="Consolas"/>
          <w:sz w:val="19"/>
        </w:rPr>
        <w:t>docs/02-arquitectura/</w:t>
      </w:r>
      <w:r>
        <w:t>.</w:t>
      </w:r>
    </w:p>
    <w:p>
      <w:pPr>
        <w:keepNext/>
        <w:spacing w:after="40"/>
        <w:jc w:val="center"/>
      </w:pPr>
      <w:r>
        <w:drawing>
          <wp:inline xmlns:a="http://schemas.openxmlformats.org/drawingml/2006/main" xmlns:pic="http://schemas.openxmlformats.org/drawingml/2006/picture">
            <wp:extent cx="8963660" cy="4132596"/>
            <wp:docPr id="21" name="Picture 21"/>
            <wp:cNvGraphicFramePr>
              <a:graphicFrameLocks noChangeAspect="1"/>
            </wp:cNvGraphicFramePr>
            <a:graphic>
              <a:graphicData uri="http://schemas.openxmlformats.org/drawingml/2006/picture">
                <pic:pic>
                  <pic:nvPicPr>
                    <pic:cNvPr id="0" name="arquitectura-03-paquetes-del-monorepo.png"/>
                    <pic:cNvPicPr/>
                  </pic:nvPicPr>
                  <pic:blipFill>
                    <a:blip r:embed="rId47"/>
                    <a:stretch>
                      <a:fillRect/>
                    </a:stretch>
                  </pic:blipFill>
                  <pic:spPr>
                    <a:xfrm>
                      <a:off x="0" y="0"/>
                      <a:ext cx="8963660" cy="4132596"/>
                    </a:xfrm>
                    <a:prstGeom prst="rect"/>
                  </pic:spPr>
                </pic:pic>
              </a:graphicData>
            </a:graphic>
          </wp:inline>
        </w:drawing>
      </w:r>
    </w:p>
    <w:p>
      <w:pPr>
        <w:jc w:val="center"/>
      </w:pPr>
      <w:r>
        <w:rPr>
          <w:b/>
          <w:color w:val="57534E"/>
          <w:sz w:val="18"/>
        </w:rPr>
        <w:t xml:space="preserve">Figura 21. </w:t>
      </w:r>
      <w:r>
        <w:rPr>
          <w:color w:val="57534E"/>
          <w:sz w:val="18"/>
        </w:rPr>
        <w:t>Paquetes del monorepo: la web, la API y los paquetes compartidos.</w:t>
      </w:r>
    </w:p>
    <w:p>
      <w:pPr>
        <w:keepNext/>
        <w:spacing w:after="40"/>
        <w:jc w:val="center"/>
      </w:pPr>
      <w:r>
        <w:drawing>
          <wp:inline xmlns:a="http://schemas.openxmlformats.org/drawingml/2006/main" xmlns:pic="http://schemas.openxmlformats.org/drawingml/2006/picture">
            <wp:extent cx="5338348" cy="4896374"/>
            <wp:docPr id="22" name="Picture 22"/>
            <wp:cNvGraphicFramePr>
              <a:graphicFrameLocks noChangeAspect="1"/>
            </wp:cNvGraphicFramePr>
            <a:graphic>
              <a:graphicData uri="http://schemas.openxmlformats.org/drawingml/2006/picture">
                <pic:pic>
                  <pic:nvPicPr>
                    <pic:cNvPr id="0" name="arquitectura-04-paquetes-de-la-api.png"/>
                    <pic:cNvPicPr/>
                  </pic:nvPicPr>
                  <pic:blipFill>
                    <a:blip r:embed="rId48"/>
                    <a:stretch>
                      <a:fillRect/>
                    </a:stretch>
                  </pic:blipFill>
                  <pic:spPr>
                    <a:xfrm>
                      <a:off x="0" y="0"/>
                      <a:ext cx="5338348" cy="4896374"/>
                    </a:xfrm>
                    <a:prstGeom prst="rect"/>
                  </pic:spPr>
                </pic:pic>
              </a:graphicData>
            </a:graphic>
          </wp:inline>
        </w:drawing>
      </w:r>
    </w:p>
    <w:p>
      <w:pPr>
        <w:jc w:val="center"/>
      </w:pPr>
      <w:r>
        <w:rPr>
          <w:b/>
          <w:color w:val="57534E"/>
          <w:sz w:val="18"/>
        </w:rPr>
        <w:t xml:space="preserve">Figura 22. </w:t>
      </w:r>
      <w:r>
        <w:rPr>
          <w:color w:val="57534E"/>
          <w:sz w:val="18"/>
        </w:rPr>
        <w:t>Paquetes de la API: los módulos de dominio arriba, los transversales abajo. Incluye turnos e importacion.</w:t>
      </w:r>
    </w:p>
    <w:p>
      <w:pPr>
        <w:keepNext/>
        <w:spacing w:after="40"/>
        <w:jc w:val="center"/>
      </w:pPr>
      <w:r>
        <w:drawing>
          <wp:inline xmlns:a="http://schemas.openxmlformats.org/drawingml/2006/main" xmlns:pic="http://schemas.openxmlformats.org/drawingml/2006/picture">
            <wp:extent cx="8963660" cy="4410971"/>
            <wp:docPr id="23" name="Picture 23"/>
            <wp:cNvGraphicFramePr>
              <a:graphicFrameLocks noChangeAspect="1"/>
            </wp:cNvGraphicFramePr>
            <a:graphic>
              <a:graphicData uri="http://schemas.openxmlformats.org/drawingml/2006/picture">
                <pic:pic>
                  <pic:nvPicPr>
                    <pic:cNvPr id="0" name="er-02-red.png"/>
                    <pic:cNvPicPr/>
                  </pic:nvPicPr>
                  <pic:blipFill>
                    <a:blip r:embed="rId49"/>
                    <a:stretch>
                      <a:fillRect/>
                    </a:stretch>
                  </pic:blipFill>
                  <pic:spPr>
                    <a:xfrm>
                      <a:off x="0" y="0"/>
                      <a:ext cx="8963660" cy="4410971"/>
                    </a:xfrm>
                    <a:prstGeom prst="rect"/>
                  </pic:spPr>
                </pic:pic>
              </a:graphicData>
            </a:graphic>
          </wp:inline>
        </w:drawing>
      </w:r>
    </w:p>
    <w:p>
      <w:pPr>
        <w:jc w:val="center"/>
      </w:pPr>
      <w:r>
        <w:rPr>
          <w:b/>
          <w:color w:val="57534E"/>
          <w:sz w:val="18"/>
        </w:rPr>
        <w:t xml:space="preserve">Figura 23. </w:t>
      </w:r>
      <w:r>
        <w:rPr>
          <w:color w:val="57534E"/>
          <w:sz w:val="18"/>
        </w:rPr>
        <w:t>Modelo de datos de la red: emergencias, zonas, entidades, acopios y causas.</w:t>
      </w:r>
    </w:p>
    <w:p>
      <w:pPr>
        <w:keepNext/>
        <w:spacing w:after="40"/>
        <w:jc w:val="center"/>
      </w:pPr>
      <w:r>
        <w:drawing>
          <wp:inline xmlns:a="http://schemas.openxmlformats.org/drawingml/2006/main" xmlns:pic="http://schemas.openxmlformats.org/drawingml/2006/picture">
            <wp:extent cx="3664383" cy="4896374"/>
            <wp:docPr id="24" name="Picture 24"/>
            <wp:cNvGraphicFramePr>
              <a:graphicFrameLocks noChangeAspect="1"/>
            </wp:cNvGraphicFramePr>
            <a:graphic>
              <a:graphicData uri="http://schemas.openxmlformats.org/drawingml/2006/picture">
                <pic:pic>
                  <pic:nvPicPr>
                    <pic:cNvPr id="0" name="er-06-turnos.png"/>
                    <pic:cNvPicPr/>
                  </pic:nvPicPr>
                  <pic:blipFill>
                    <a:blip r:embed="rId50"/>
                    <a:stretch>
                      <a:fillRect/>
                    </a:stretch>
                  </pic:blipFill>
                  <pic:spPr>
                    <a:xfrm>
                      <a:off x="0" y="0"/>
                      <a:ext cx="3664383" cy="4896374"/>
                    </a:xfrm>
                    <a:prstGeom prst="rect"/>
                  </pic:spPr>
                </pic:pic>
              </a:graphicData>
            </a:graphic>
          </wp:inline>
        </w:drawing>
      </w:r>
    </w:p>
    <w:p>
      <w:pPr>
        <w:jc w:val="center"/>
      </w:pPr>
      <w:r>
        <w:rPr>
          <w:b/>
          <w:color w:val="57534E"/>
          <w:sz w:val="18"/>
        </w:rPr>
        <w:t xml:space="preserve">Figura 24. </w:t>
      </w:r>
      <w:r>
        <w:rPr>
          <w:color w:val="57534E"/>
          <w:sz w:val="18"/>
        </w:rPr>
        <w:t>Modelo de datos de turnos: jornadas de acopio o de entidad y sus reservas.</w:t>
      </w:r>
    </w:p>
    <w:p>
      <w:pPr>
        <w:sectPr>
          <w:pgSz w:w="16838" w:h="11906" w:orient="landscape"/>
          <w:pgMar w:top="1247" w:right="1361" w:bottom="1134" w:left="1361" w:header="720" w:footer="720" w:gutter="0"/>
          <w:cols w:space="720"/>
          <w:docGrid w:linePitch="360"/>
        </w:sectPr>
      </w:pPr>
    </w:p>
    <w:p>
      <w:pPr>
        <w:pStyle w:val="Ttulo1"/>
      </w:pPr>
      <w:r>
        <w:t>2. Patrones de diseño</w:t>
      </w:r>
    </w:p>
    <w:p>
      <w:r>
        <w:t xml:space="preserve">Cada patrón tiene código que se puede abrir; las rutas son de </w:t>
      </w:r>
      <w:r>
        <w:rPr>
          <w:rFonts w:ascii="Consolas" w:hAnsi="Consolas"/>
          <w:sz w:val="19"/>
        </w:rPr>
        <w:t>apps/api/src/</w:t>
      </w:r>
      <w:r>
        <w:t xml:space="preserve"> salvo que digan otra cosa. El detalle de cada uno y cuándo se repite está en </w:t>
      </w:r>
      <w:r>
        <w:t>patrones y prácticas</w:t>
      </w:r>
      <w:r>
        <w:t>.</w:t>
      </w:r>
    </w:p>
    <w:p>
      <w:pPr>
        <w:pStyle w:val="Ttulo2"/>
      </w:pPr>
      <w:r>
        <w:t>DAO</w:t>
      </w:r>
    </w:p>
    <w:p>
      <w:r>
        <w:t>El acceso a datos pasa por DAO (</w:t>
      </w:r>
      <w:r>
        <w:t>ADR-0019</w:t>
      </w:r>
      <w:r>
        <w:t xml:space="preserve">). Hay 20, en </w:t>
      </w:r>
      <w:r>
        <w:rPr>
          <w:rFonts w:ascii="Consolas" w:hAnsi="Consolas"/>
          <w:sz w:val="19"/>
        </w:rPr>
        <w:t>modulos/&lt;módulo&gt;/dao/</w:t>
      </w:r>
      <w:r>
        <w:t xml:space="preserve">: entre ellos </w:t>
      </w:r>
      <w:r>
        <w:rPr>
          <w:rFonts w:ascii="Consolas" w:hAnsi="Consolas"/>
          <w:sz w:val="19"/>
        </w:rPr>
        <w:t>ComprobanteDao</w:t>
      </w:r>
      <w:r>
        <w:t xml:space="preserve">, </w:t>
      </w:r>
      <w:r>
        <w:rPr>
          <w:rFonts w:ascii="Consolas" w:hAnsi="Consolas"/>
          <w:sz w:val="19"/>
        </w:rPr>
        <w:t>MovimientoDao</w:t>
      </w:r>
      <w:r>
        <w:t xml:space="preserve">, </w:t>
      </w:r>
      <w:r>
        <w:rPr>
          <w:rFonts w:ascii="Consolas" w:hAnsi="Consolas"/>
          <w:sz w:val="19"/>
        </w:rPr>
        <w:t>SaldoDao</w:t>
      </w:r>
      <w:r>
        <w:t xml:space="preserve">, </w:t>
      </w:r>
      <w:r>
        <w:rPr>
          <w:rFonts w:ascii="Consolas" w:hAnsi="Consolas"/>
          <w:sz w:val="19"/>
        </w:rPr>
        <w:t>RemisionDao</w:t>
      </w:r>
      <w:r>
        <w:t xml:space="preserve">, </w:t>
      </w:r>
      <w:r>
        <w:rPr>
          <w:rFonts w:ascii="Consolas" w:hAnsi="Consolas"/>
          <w:sz w:val="19"/>
        </w:rPr>
        <w:t>SugerenciaDao</w:t>
      </w:r>
      <w:r>
        <w:t xml:space="preserve">, </w:t>
      </w:r>
      <w:r>
        <w:rPr>
          <w:rFonts w:ascii="Consolas" w:hAnsi="Consolas"/>
          <w:sz w:val="19"/>
        </w:rPr>
        <w:t>CausaDao</w:t>
      </w:r>
      <w:r>
        <w:t xml:space="preserve">, </w:t>
      </w:r>
      <w:r>
        <w:rPr>
          <w:rFonts w:ascii="Consolas" w:hAnsi="Consolas"/>
          <w:sz w:val="19"/>
        </w:rPr>
        <w:t>JornadaDao</w:t>
      </w:r>
      <w:r>
        <w:t xml:space="preserve"> y </w:t>
      </w:r>
      <w:r>
        <w:rPr>
          <w:rFonts w:ascii="Consolas" w:hAnsi="Consolas"/>
          <w:sz w:val="19"/>
        </w:rPr>
        <w:t>ReservaDao</w:t>
      </w:r>
      <w:r>
        <w:t xml:space="preserve">. Los servicios los usan y abren la transacción con </w:t>
      </w:r>
      <w:r>
        <w:rPr>
          <w:rFonts w:ascii="Consolas" w:hAnsi="Consolas"/>
          <w:sz w:val="19"/>
        </w:rPr>
        <w:t>Transacciones.ejecutar</w:t>
      </w:r>
      <w:r>
        <w:t>; los controladores no los ven. Por dentro usan Prisma, pero en los siete módulos migrados (</w:t>
      </w:r>
      <w:r>
        <w:rPr>
          <w:rFonts w:ascii="Consolas" w:hAnsi="Consolas"/>
          <w:sz w:val="19"/>
        </w:rPr>
        <w:t>inventario</w:t>
      </w:r>
      <w:r>
        <w:t xml:space="preserve">, </w:t>
      </w:r>
      <w:r>
        <w:rPr>
          <w:rFonts w:ascii="Consolas" w:hAnsi="Consolas"/>
          <w:sz w:val="19"/>
        </w:rPr>
        <w:t>comprobantes</w:t>
      </w:r>
      <w:r>
        <w:t xml:space="preserve">, </w:t>
      </w:r>
      <w:r>
        <w:rPr>
          <w:rFonts w:ascii="Consolas" w:hAnsi="Consolas"/>
          <w:sz w:val="19"/>
        </w:rPr>
        <w:t>motor</w:t>
      </w:r>
      <w:r>
        <w:t xml:space="preserve">, </w:t>
      </w:r>
      <w:r>
        <w:rPr>
          <w:rFonts w:ascii="Consolas" w:hAnsi="Consolas"/>
          <w:sz w:val="19"/>
        </w:rPr>
        <w:t>salud</w:t>
      </w:r>
      <w:r>
        <w:t xml:space="preserve">, </w:t>
      </w:r>
      <w:r>
        <w:rPr>
          <w:rFonts w:ascii="Consolas" w:hAnsi="Consolas"/>
          <w:sz w:val="19"/>
        </w:rPr>
        <w:t>notificaciones</w:t>
      </w:r>
      <w:r>
        <w:t xml:space="preserve">, </w:t>
      </w:r>
      <w:r>
        <w:rPr>
          <w:rFonts w:ascii="Consolas" w:hAnsi="Consolas"/>
          <w:sz w:val="19"/>
        </w:rPr>
        <w:t>acopios</w:t>
      </w:r>
      <w:r>
        <w:t xml:space="preserve"> y </w:t>
      </w:r>
      <w:r>
        <w:rPr>
          <w:rFonts w:ascii="Consolas" w:hAnsi="Consolas"/>
          <w:sz w:val="19"/>
        </w:rPr>
        <w:t>turnos</w:t>
      </w:r>
      <w:r>
        <w:t>) ningún otro archivo toca Prisma, y dependency-cruiser lo revisa en cada pull request.</w:t>
      </w:r>
    </w:p>
    <w:p>
      <w:pPr>
        <w:pStyle w:val="Vineta"/>
      </w:pPr>
      <w:r>
        <w:t xml:space="preserve">•  </w:t>
      </w:r>
      <w:r>
        <w:t>Beneficio: el servicio de recepción, por ejemplo, se lee como reglas de negocio (qué líneas se confirman, cuándo se rechaza) sin consultas en medio. Una consulta se cambia en un solo lugar.</w:t>
      </w:r>
    </w:p>
    <w:p>
      <w:pPr>
        <w:pStyle w:val="Vineta"/>
      </w:pPr>
      <w:r>
        <w:t xml:space="preserve">•  </w:t>
      </w:r>
      <w:r>
        <w:t>Complejidad: una capa más, y cada consulta nueva pide un método en el DAO. La transacción viaja como parámetro para que la bitácora quede en la misma.</w:t>
      </w:r>
    </w:p>
    <w:p>
      <w:pPr>
        <w:pStyle w:val="Ttulo2"/>
      </w:pPr>
      <w:r>
        <w:t>DTO</w:t>
      </w:r>
    </w:p>
    <w:p>
      <w:r>
        <w:t xml:space="preserve">Sí aplica. Todos los DTO salen de </w:t>
      </w:r>
      <w:r>
        <w:rPr>
          <w:rFonts w:ascii="Consolas" w:hAnsi="Consolas"/>
          <w:sz w:val="19"/>
        </w:rPr>
        <w:t>crearDto</w:t>
      </w:r>
      <w:r>
        <w:t xml:space="preserve"> (</w:t>
      </w:r>
      <w:r>
        <w:rPr>
          <w:rFonts w:ascii="Consolas" w:hAnsi="Consolas"/>
          <w:sz w:val="19"/>
        </w:rPr>
        <w:t>comun/dto.ts</w:t>
      </w:r>
      <w:r>
        <w:t xml:space="preserve">, sobre </w:t>
      </w:r>
      <w:r>
        <w:rPr>
          <w:rFonts w:ascii="Consolas" w:hAnsi="Consolas"/>
          <w:sz w:val="19"/>
        </w:rPr>
        <w:t>createZodDto</w:t>
      </w:r>
      <w:r>
        <w:t>), que valida la entrada y además genera el contrato OpenAPI del que la web saca sus tipos:</w:t>
      </w:r>
    </w:p>
    <w:p>
      <w:pPr>
        <w:pStyle w:val="Vineta"/>
      </w:pPr>
      <w:r>
        <w:t xml:space="preserve">•  </w:t>
      </w:r>
      <w:r>
        <w:t xml:space="preserve">De entrada, en cada controlador: </w:t>
      </w:r>
      <w:r>
        <w:rPr>
          <w:rFonts w:ascii="Consolas" w:hAnsi="Consolas"/>
          <w:sz w:val="19"/>
        </w:rPr>
        <w:t>CrearDonacionDto</w:t>
      </w:r>
      <w:r>
        <w:t xml:space="preserve"> lleva el acopio y las líneas (categoría, código de barras, cantidad, vencimiento) cuando el Donador prepara una donación; </w:t>
      </w:r>
      <w:r>
        <w:rPr>
          <w:rFonts w:ascii="Consolas" w:hAnsi="Consolas"/>
          <w:sz w:val="19"/>
        </w:rPr>
        <w:t>RecibirDto</w:t>
      </w:r>
      <w:r>
        <w:t xml:space="preserve"> lleva lo que el Operador confirma de cada línea al recibir.</w:t>
      </w:r>
    </w:p>
    <w:p>
      <w:pPr>
        <w:pStyle w:val="Vineta"/>
      </w:pPr>
      <w:r>
        <w:t xml:space="preserve">•  </w:t>
      </w:r>
      <w:r>
        <w:t xml:space="preserve">De respuesta, en </w:t>
      </w:r>
      <w:r>
        <w:rPr>
          <w:rFonts w:ascii="Consolas" w:hAnsi="Consolas"/>
          <w:sz w:val="19"/>
        </w:rPr>
        <w:t>comun/respuestas.ts</w:t>
      </w:r>
      <w:r>
        <w:t xml:space="preserve"> (62 clases): </w:t>
      </w:r>
      <w:r>
        <w:rPr>
          <w:rFonts w:ascii="Consolas" w:hAnsi="Consolas"/>
          <w:sz w:val="19"/>
        </w:rPr>
        <w:t>ComprobanteDto</w:t>
      </w:r>
      <w:r>
        <w:t xml:space="preserve"> es lo que la web muestra de una donación.</w:t>
      </w:r>
    </w:p>
    <w:p>
      <w:r>
        <w:t xml:space="preserve">Se diferencian de la entidad persistida en lo que dejan fuera y en la forma. </w:t>
      </w:r>
      <w:r>
        <w:rPr>
          <w:rFonts w:ascii="Consolas" w:hAnsi="Consolas"/>
          <w:sz w:val="19"/>
        </w:rPr>
        <w:t>ComprobanteDto</w:t>
      </w:r>
      <w:r>
        <w:t xml:space="preserve"> no trae el donador, las claves de la factura en Garage ni quién la verificó; trae el nombre del acopio y de cada categoría en vez de sus identificadores, y </w:t>
      </w:r>
      <w:r>
        <w:rPr>
          <w:rFonts w:ascii="Consolas" w:hAnsi="Consolas"/>
          <w:sz w:val="19"/>
        </w:rPr>
        <w:t>tieneFactura</w:t>
      </w:r>
      <w:r>
        <w:t xml:space="preserve"> en vez de la clave. Los nombres van en camelCase y las cantidades como números, no como </w:t>
      </w:r>
      <w:r>
        <w:rPr>
          <w:rFonts w:ascii="Consolas" w:hAnsi="Consolas"/>
          <w:sz w:val="19"/>
        </w:rPr>
        <w:t>Decimal</w:t>
      </w:r>
      <w:r>
        <w:t>. Una prueba (</w:t>
      </w:r>
      <w:r>
        <w:rPr>
          <w:rFonts w:ascii="Consolas" w:hAnsi="Consolas"/>
          <w:sz w:val="19"/>
        </w:rPr>
        <w:t>comun/dto-nombres.test.ts</w:t>
      </w:r>
      <w:r>
        <w:t>) falla si dos DTO comparten nombre, porque se pisarían en el contrato.</w:t>
      </w:r>
    </w:p>
    <w:p>
      <w:pPr>
        <w:pStyle w:val="Ttulo2"/>
      </w:pPr>
      <w:r>
        <w:t>Creacionales</w:t>
      </w:r>
    </w:p>
    <w:tbl>
      <w:tblPr>
        <w:tblStyle w:val="Tablaconcuadrcula"/>
        <w:tblW w:type="auto" w:w="0"/>
        <w:jc w:val="center"/>
        <w:tblLook w:firstColumn="1" w:firstRow="1" w:lastColumn="0" w:lastRow="0" w:noHBand="0" w:noVBand="1" w:val="04A0"/>
      </w:tblPr>
      <w:tblGrid>
        <w:gridCol w:w="1837"/>
        <w:gridCol w:w="1837"/>
        <w:gridCol w:w="1837"/>
        <w:gridCol w:w="1837"/>
        <w:gridCol w:w="1837"/>
      </w:tblGrid>
      <w:tr>
        <w:trPr>
          <w:cantSplit w:val="true"/>
          <w:tblHeader w:val="true"/>
        </w:trPr>
        <w:tc>
          <w:tcPr>
            <w:tcW w:type="dxa" w:w="1837"/>
            <w:shd w:val="clear" w:color="auto" w:fill="0F6E6E"/>
          </w:tcPr>
          <w:p>
            <w:pPr>
              <w:spacing w:after="40"/>
              <w:jc w:val="left"/>
            </w:pPr>
            <w:r>
              <w:rPr>
                <w:b/>
                <w:color w:val="FFFFFF"/>
                <w:sz w:val="16"/>
              </w:rPr>
              <w:t>Patrón</w:t>
            </w:r>
          </w:p>
        </w:tc>
        <w:tc>
          <w:tcPr>
            <w:tcW w:type="dxa" w:w="1837"/>
            <w:shd w:val="clear" w:color="auto" w:fill="0F6E6E"/>
          </w:tcPr>
          <w:p>
            <w:pPr>
              <w:spacing w:after="40"/>
              <w:jc w:val="left"/>
            </w:pPr>
            <w:r>
              <w:rPr>
                <w:b/>
                <w:color w:val="FFFFFF"/>
                <w:sz w:val="16"/>
              </w:rPr>
              <w:t>Dónde</w:t>
            </w:r>
          </w:p>
        </w:tc>
        <w:tc>
          <w:tcPr>
            <w:tcW w:type="dxa" w:w="1837"/>
            <w:shd w:val="clear" w:color="auto" w:fill="0F6E6E"/>
          </w:tcPr>
          <w:p>
            <w:pPr>
              <w:spacing w:after="40"/>
              <w:jc w:val="left"/>
            </w:pPr>
            <w:r>
              <w:rPr>
                <w:b/>
                <w:color w:val="FFFFFF"/>
                <w:sz w:val="16"/>
              </w:rPr>
              <w:t>Problema que resuelve</w:t>
            </w:r>
          </w:p>
        </w:tc>
        <w:tc>
          <w:tcPr>
            <w:tcW w:type="dxa" w:w="1837"/>
            <w:shd w:val="clear" w:color="auto" w:fill="0F6E6E"/>
          </w:tcPr>
          <w:p>
            <w:pPr>
              <w:spacing w:after="40"/>
              <w:jc w:val="left"/>
            </w:pPr>
            <w:r>
              <w:rPr>
                <w:b/>
                <w:color w:val="FFFFFF"/>
                <w:sz w:val="16"/>
              </w:rPr>
              <w:t>Beneficio</w:t>
            </w:r>
          </w:p>
        </w:tc>
        <w:tc>
          <w:tcPr>
            <w:tcW w:type="dxa" w:w="1837"/>
            <w:shd w:val="clear" w:color="auto" w:fill="0F6E6E"/>
          </w:tcPr>
          <w:p>
            <w:pPr>
              <w:spacing w:after="40"/>
              <w:jc w:val="left"/>
            </w:pPr>
            <w:r>
              <w:rPr>
                <w:b/>
                <w:color w:val="FFFFFF"/>
                <w:sz w:val="16"/>
              </w:rPr>
              <w:t>Complejidad</w:t>
            </w:r>
          </w:p>
        </w:tc>
      </w:tr>
      <w:tr>
        <w:trPr>
          <w:cantSplit w:val="true"/>
        </w:trPr>
        <w:tc>
          <w:tcPr>
            <w:tcW w:type="dxa" w:w="1837"/>
          </w:tcPr>
          <w:p>
            <w:pPr>
              <w:spacing w:after="40"/>
              <w:jc w:val="left"/>
            </w:pPr>
            <w:r>
              <w:rPr>
                <w:sz w:val="16"/>
              </w:rPr>
              <w:t>Factory Method</w:t>
            </w:r>
          </w:p>
        </w:tc>
        <w:tc>
          <w:tcPr>
            <w:tcW w:type="dxa" w:w="1837"/>
          </w:tcPr>
          <w:p>
            <w:pPr>
              <w:spacing w:after="40"/>
              <w:jc w:val="left"/>
            </w:pPr>
            <w:r>
              <w:rPr>
                <w:rFonts w:ascii="Consolas" w:hAnsi="Consolas"/>
                <w:sz w:val="13"/>
              </w:rPr>
              <w:t>fabricarProveedorIdentidad</w:t>
            </w:r>
            <w:r>
              <w:rPr>
                <w:sz w:val="16"/>
              </w:rPr>
              <w:t xml:space="preserve"> en </w:t>
            </w:r>
            <w:r>
              <w:rPr>
                <w:rFonts w:ascii="Consolas" w:hAnsi="Consolas"/>
                <w:sz w:val="13"/>
              </w:rPr>
              <w:t>modulos/identidad/proveedor/fabrica-proveedor.ts</w:t>
            </w:r>
            <w:r>
              <w:rPr>
                <w:sz w:val="16"/>
              </w:rPr>
              <w:t xml:space="preserve">, registrada con </w:t>
            </w:r>
            <w:r>
              <w:rPr>
                <w:rFonts w:ascii="Consolas" w:hAnsi="Consolas"/>
                <w:sz w:val="13"/>
              </w:rPr>
              <w:t>useFactory</w:t>
            </w:r>
            <w:r>
              <w:rPr>
                <w:sz w:val="16"/>
              </w:rPr>
              <w:t xml:space="preserve"> en </w:t>
            </w:r>
            <w:r>
              <w:rPr>
                <w:rFonts w:ascii="Consolas" w:hAnsi="Consolas"/>
                <w:sz w:val="13"/>
              </w:rPr>
              <w:t>identidad.module.ts</w:t>
            </w:r>
          </w:p>
        </w:tc>
        <w:tc>
          <w:tcPr>
            <w:tcW w:type="dxa" w:w="1837"/>
          </w:tcPr>
          <w:p>
            <w:pPr>
              <w:spacing w:after="40"/>
              <w:jc w:val="left"/>
            </w:pPr>
            <w:r>
              <w:rPr>
                <w:sz w:val="16"/>
              </w:rPr>
              <w:t>La API autentica con un proveedor local en desarrollo y con Supabase en producción. Quien inicia sesión o verifica un token no debe saber cuál</w:t>
            </w:r>
          </w:p>
        </w:tc>
        <w:tc>
          <w:tcPr>
            <w:tcW w:type="dxa" w:w="1837"/>
          </w:tcPr>
          <w:p>
            <w:pPr>
              <w:spacing w:after="40"/>
              <w:jc w:val="left"/>
            </w:pPr>
            <w:r>
              <w:rPr>
                <w:sz w:val="16"/>
              </w:rPr>
              <w:t xml:space="preserve">Cambiar de proveedor es cambiar </w:t>
            </w:r>
            <w:r>
              <w:rPr>
                <w:rFonts w:ascii="Consolas" w:hAnsi="Consolas"/>
                <w:sz w:val="13"/>
              </w:rPr>
              <w:t>AUTH_PROVEEDOR</w:t>
            </w:r>
            <w:r>
              <w:rPr>
                <w:sz w:val="16"/>
              </w:rPr>
              <w:t xml:space="preserve">. Ningún servicio tiene un </w:t>
            </w:r>
            <w:r>
              <w:rPr>
                <w:rFonts w:ascii="Consolas" w:hAnsi="Consolas"/>
                <w:sz w:val="13"/>
              </w:rPr>
              <w:t>if</w:t>
            </w:r>
            <w:r>
              <w:rPr>
                <w:sz w:val="16"/>
              </w:rPr>
              <w:t xml:space="preserve"> por proveedor</w:t>
            </w:r>
          </w:p>
        </w:tc>
        <w:tc>
          <w:tcPr>
            <w:tcW w:type="dxa" w:w="1837"/>
          </w:tcPr>
          <w:p>
            <w:pPr>
              <w:spacing w:after="40"/>
              <w:jc w:val="left"/>
            </w:pPr>
            <w:r>
              <w:rPr>
                <w:sz w:val="16"/>
              </w:rPr>
              <w:t>Los dos adaptadores se construyen aunque se use uno. La elección vive en la configuración del módulo, lejos de quien la usa</w:t>
            </w:r>
          </w:p>
        </w:tc>
      </w:tr>
      <w:tr>
        <w:trPr>
          <w:cantSplit w:val="true"/>
        </w:trPr>
        <w:tc>
          <w:tcPr>
            <w:tcW w:type="dxa" w:w="1837"/>
          </w:tcPr>
          <w:p>
            <w:pPr>
              <w:spacing w:after="40"/>
              <w:jc w:val="left"/>
            </w:pPr>
            <w:r>
              <w:rPr>
                <w:sz w:val="16"/>
              </w:rPr>
              <w:t>Singleton</w:t>
            </w:r>
          </w:p>
        </w:tc>
        <w:tc>
          <w:tcPr>
            <w:tcW w:type="dxa" w:w="1837"/>
          </w:tcPr>
          <w:p>
            <w:pPr>
              <w:spacing w:after="40"/>
              <w:jc w:val="left"/>
            </w:pPr>
            <w:r>
              <w:rPr>
                <w:rFonts w:ascii="Consolas" w:hAnsi="Consolas"/>
                <w:sz w:val="13"/>
              </w:rPr>
              <w:t>ENTORNO</w:t>
            </w:r>
            <w:r>
              <w:rPr>
                <w:sz w:val="16"/>
              </w:rPr>
              <w:t xml:space="preserve"> en </w:t>
            </w:r>
            <w:r>
              <w:rPr>
                <w:rFonts w:ascii="Consolas" w:hAnsi="Consolas"/>
                <w:sz w:val="13"/>
              </w:rPr>
              <w:t>config/config.module.ts</w:t>
            </w:r>
            <w:r>
              <w:rPr>
                <w:sz w:val="16"/>
              </w:rPr>
              <w:t xml:space="preserve">, que lee y valida las variables una sola vez con </w:t>
            </w:r>
            <w:r>
              <w:rPr>
                <w:rFonts w:ascii="Consolas" w:hAnsi="Consolas"/>
                <w:sz w:val="13"/>
              </w:rPr>
              <w:t>leerEntorno()</w:t>
            </w:r>
            <w:r>
              <w:rPr>
                <w:sz w:val="16"/>
              </w:rPr>
              <w:t xml:space="preserve">; </w:t>
            </w:r>
            <w:r>
              <w:rPr>
                <w:rFonts w:ascii="Consolas" w:hAnsi="Consolas"/>
                <w:sz w:val="13"/>
              </w:rPr>
              <w:t>PrismaService</w:t>
            </w:r>
            <w:r>
              <w:rPr>
                <w:sz w:val="16"/>
              </w:rPr>
              <w:t>, una sola conexión con su pool para toda la API</w:t>
            </w:r>
          </w:p>
        </w:tc>
        <w:tc>
          <w:tcPr>
            <w:tcW w:type="dxa" w:w="1837"/>
          </w:tcPr>
          <w:p>
            <w:pPr>
              <w:spacing w:after="40"/>
              <w:jc w:val="left"/>
            </w:pPr>
            <w:r>
              <w:rPr>
                <w:sz w:val="16"/>
              </w:rPr>
              <w:t>Validar el entorno en cada uso sería lento, y abrir un cliente de base por servicio agotaría las conexiones</w:t>
            </w:r>
          </w:p>
        </w:tc>
        <w:tc>
          <w:tcPr>
            <w:tcW w:type="dxa" w:w="1837"/>
          </w:tcPr>
          <w:p>
            <w:pPr>
              <w:spacing w:after="40"/>
              <w:jc w:val="left"/>
            </w:pPr>
            <w:r>
              <w:rPr>
                <w:sz w:val="16"/>
              </w:rPr>
              <w:t>Una variable inválida detiene el arranque; todos comparten el mismo pool</w:t>
            </w:r>
          </w:p>
        </w:tc>
        <w:tc>
          <w:tcPr>
            <w:tcW w:type="dxa" w:w="1837"/>
          </w:tcPr>
          <w:p>
            <w:pPr>
              <w:spacing w:after="40"/>
              <w:jc w:val="left"/>
            </w:pPr>
            <w:r>
              <w:rPr>
                <w:sz w:val="16"/>
              </w:rPr>
              <w:t xml:space="preserve">Es el contenedor de Nest el que garantiza una sola instancia (alcance por defecto), no la clase. Un </w:t>
            </w:r>
            <w:r>
              <w:rPr>
                <w:rFonts w:ascii="Consolas" w:hAnsi="Consolas"/>
                <w:sz w:val="13"/>
              </w:rPr>
              <w:t>new PrismaService()</w:t>
            </w:r>
            <w:r>
              <w:rPr>
                <w:sz w:val="16"/>
              </w:rPr>
              <w:t xml:space="preserve"> a mano lo rompería</w:t>
            </w:r>
          </w:p>
        </w:tc>
      </w:tr>
    </w:tbl>
    <w:p>
      <w:pPr>
        <w:spacing w:after="40"/>
      </w:pPr>
    </w:p>
    <w:p>
      <w:pPr>
        <w:pStyle w:val="Ttulo2"/>
      </w:pPr>
      <w:r>
        <w:t>Estructurales</w:t>
      </w:r>
    </w:p>
    <w:tbl>
      <w:tblPr>
        <w:tblStyle w:val="Tablaconcuadrcula"/>
        <w:tblW w:type="auto" w:w="0"/>
        <w:jc w:val="center"/>
        <w:tblLook w:firstColumn="1" w:firstRow="1" w:lastColumn="0" w:lastRow="0" w:noHBand="0" w:noVBand="1" w:val="04A0"/>
      </w:tblPr>
      <w:tblGrid>
        <w:gridCol w:w="1837"/>
        <w:gridCol w:w="1837"/>
        <w:gridCol w:w="1837"/>
        <w:gridCol w:w="1837"/>
        <w:gridCol w:w="1837"/>
      </w:tblGrid>
      <w:tr>
        <w:trPr>
          <w:cantSplit w:val="true"/>
          <w:tblHeader w:val="true"/>
        </w:trPr>
        <w:tc>
          <w:tcPr>
            <w:tcW w:type="dxa" w:w="1837"/>
            <w:shd w:val="clear" w:color="auto" w:fill="0F6E6E"/>
          </w:tcPr>
          <w:p>
            <w:pPr>
              <w:spacing w:after="40"/>
              <w:jc w:val="left"/>
            </w:pPr>
            <w:r>
              <w:rPr>
                <w:b/>
                <w:color w:val="FFFFFF"/>
                <w:sz w:val="16"/>
              </w:rPr>
              <w:t>Patrón</w:t>
            </w:r>
          </w:p>
        </w:tc>
        <w:tc>
          <w:tcPr>
            <w:tcW w:type="dxa" w:w="1837"/>
            <w:shd w:val="clear" w:color="auto" w:fill="0F6E6E"/>
          </w:tcPr>
          <w:p>
            <w:pPr>
              <w:spacing w:after="40"/>
              <w:jc w:val="left"/>
            </w:pPr>
            <w:r>
              <w:rPr>
                <w:b/>
                <w:color w:val="FFFFFF"/>
                <w:sz w:val="16"/>
              </w:rPr>
              <w:t>Dónde</w:t>
            </w:r>
          </w:p>
        </w:tc>
        <w:tc>
          <w:tcPr>
            <w:tcW w:type="dxa" w:w="1837"/>
            <w:shd w:val="clear" w:color="auto" w:fill="0F6E6E"/>
          </w:tcPr>
          <w:p>
            <w:pPr>
              <w:spacing w:after="40"/>
              <w:jc w:val="left"/>
            </w:pPr>
            <w:r>
              <w:rPr>
                <w:b/>
                <w:color w:val="FFFFFF"/>
                <w:sz w:val="16"/>
              </w:rPr>
              <w:t>Problema que resuelve</w:t>
            </w:r>
          </w:p>
        </w:tc>
        <w:tc>
          <w:tcPr>
            <w:tcW w:type="dxa" w:w="1837"/>
            <w:shd w:val="clear" w:color="auto" w:fill="0F6E6E"/>
          </w:tcPr>
          <w:p>
            <w:pPr>
              <w:spacing w:after="40"/>
              <w:jc w:val="left"/>
            </w:pPr>
            <w:r>
              <w:rPr>
                <w:b/>
                <w:color w:val="FFFFFF"/>
                <w:sz w:val="16"/>
              </w:rPr>
              <w:t>Beneficio</w:t>
            </w:r>
          </w:p>
        </w:tc>
        <w:tc>
          <w:tcPr>
            <w:tcW w:type="dxa" w:w="1837"/>
            <w:shd w:val="clear" w:color="auto" w:fill="0F6E6E"/>
          </w:tcPr>
          <w:p>
            <w:pPr>
              <w:spacing w:after="40"/>
              <w:jc w:val="left"/>
            </w:pPr>
            <w:r>
              <w:rPr>
                <w:b/>
                <w:color w:val="FFFFFF"/>
                <w:sz w:val="16"/>
              </w:rPr>
              <w:t>Complejidad</w:t>
            </w:r>
          </w:p>
        </w:tc>
      </w:tr>
      <w:tr>
        <w:trPr>
          <w:cantSplit w:val="true"/>
        </w:trPr>
        <w:tc>
          <w:tcPr>
            <w:tcW w:type="dxa" w:w="1837"/>
          </w:tcPr>
          <w:p>
            <w:pPr>
              <w:spacing w:after="40"/>
              <w:jc w:val="left"/>
            </w:pPr>
            <w:r>
              <w:rPr>
                <w:sz w:val="16"/>
              </w:rPr>
              <w:t>Adapter</w:t>
            </w:r>
          </w:p>
        </w:tc>
        <w:tc>
          <w:tcPr>
            <w:tcW w:type="dxa" w:w="1837"/>
          </w:tcPr>
          <w:p>
            <w:pPr>
              <w:spacing w:after="40"/>
              <w:jc w:val="left"/>
            </w:pPr>
            <w:r>
              <w:rPr>
                <w:rFonts w:ascii="Consolas" w:hAnsi="Consolas"/>
                <w:sz w:val="13"/>
              </w:rPr>
              <w:t>ProveedorLocal</w:t>
            </w:r>
            <w:r>
              <w:rPr>
                <w:sz w:val="16"/>
              </w:rPr>
              <w:t xml:space="preserve"> y </w:t>
            </w:r>
            <w:r>
              <w:rPr>
                <w:rFonts w:ascii="Consolas" w:hAnsi="Consolas"/>
                <w:sz w:val="13"/>
              </w:rPr>
              <w:t>ProveedorSupabase</w:t>
            </w:r>
            <w:r>
              <w:rPr>
                <w:sz w:val="16"/>
              </w:rPr>
              <w:t xml:space="preserve"> frente al puerto </w:t>
            </w:r>
            <w:r>
              <w:rPr>
                <w:rFonts w:ascii="Consolas" w:hAnsi="Consolas"/>
                <w:sz w:val="13"/>
              </w:rPr>
              <w:t>ProveedorIdentidad</w:t>
            </w:r>
            <w:r>
              <w:rPr>
                <w:sz w:val="16"/>
              </w:rPr>
              <w:t xml:space="preserve">; </w:t>
            </w:r>
            <w:r>
              <w:rPr>
                <w:rFonts w:ascii="Consolas" w:hAnsi="Consolas"/>
                <w:sz w:val="13"/>
              </w:rPr>
              <w:t>AlmacenS3</w:t>
            </w:r>
            <w:r>
              <w:rPr>
                <w:sz w:val="16"/>
              </w:rPr>
              <w:t xml:space="preserve"> y </w:t>
            </w:r>
            <w:r>
              <w:rPr>
                <w:rFonts w:ascii="Consolas" w:hAnsi="Consolas"/>
                <w:sz w:val="13"/>
              </w:rPr>
              <w:t>AlmacenMemoria</w:t>
            </w:r>
            <w:r>
              <w:rPr>
                <w:sz w:val="16"/>
              </w:rPr>
              <w:t xml:space="preserve"> frente a </w:t>
            </w:r>
            <w:r>
              <w:rPr>
                <w:rFonts w:ascii="Consolas" w:hAnsi="Consolas"/>
                <w:sz w:val="13"/>
              </w:rPr>
              <w:t>Almacen</w:t>
            </w:r>
            <w:r>
              <w:rPr>
                <w:sz w:val="16"/>
              </w:rPr>
              <w:t>; el geocodificador de Nominatim</w:t>
            </w:r>
          </w:p>
        </w:tc>
        <w:tc>
          <w:tcPr>
            <w:tcW w:type="dxa" w:w="1837"/>
          </w:tcPr>
          <w:p>
            <w:pPr>
              <w:spacing w:after="40"/>
              <w:jc w:val="left"/>
            </w:pPr>
            <w:r>
              <w:rPr>
                <w:sz w:val="16"/>
              </w:rPr>
              <w:t>Supabase, el SDK de S3 y Nominatim tienen interfaces propias. El dominio necesita una sola, en español y con sus tipos</w:t>
            </w:r>
          </w:p>
        </w:tc>
        <w:tc>
          <w:tcPr>
            <w:tcW w:type="dxa" w:w="1837"/>
          </w:tcPr>
          <w:p>
            <w:pPr>
              <w:spacing w:after="40"/>
              <w:jc w:val="left"/>
            </w:pPr>
            <w:r>
              <w:rPr>
                <w:sz w:val="16"/>
              </w:rPr>
              <w:t>Las pruebas usan el almacén en memoria y el geocodificador falso, sin red. Cambiar de proveedor no toca el dominio</w:t>
            </w:r>
          </w:p>
        </w:tc>
        <w:tc>
          <w:tcPr>
            <w:tcW w:type="dxa" w:w="1837"/>
          </w:tcPr>
          <w:p>
            <w:pPr>
              <w:spacing w:after="40"/>
              <w:jc w:val="left"/>
            </w:pPr>
            <w:r>
              <w:rPr>
                <w:sz w:val="16"/>
              </w:rPr>
              <w:t>Una interfaz y un archivo por servicio externo, y el adaptador hay que mantenerlo cuando cambia el SDK</w:t>
            </w:r>
          </w:p>
        </w:tc>
      </w:tr>
      <w:tr>
        <w:trPr>
          <w:cantSplit w:val="true"/>
        </w:trPr>
        <w:tc>
          <w:tcPr>
            <w:tcW w:type="dxa" w:w="1837"/>
          </w:tcPr>
          <w:p>
            <w:pPr>
              <w:spacing w:after="40"/>
              <w:jc w:val="left"/>
            </w:pPr>
            <w:r>
              <w:rPr>
                <w:sz w:val="16"/>
              </w:rPr>
              <w:t>Proxy</w:t>
            </w:r>
          </w:p>
        </w:tc>
        <w:tc>
          <w:tcPr>
            <w:tcW w:type="dxa" w:w="1837"/>
          </w:tcPr>
          <w:p>
            <w:pPr>
              <w:spacing w:after="40"/>
              <w:jc w:val="left"/>
            </w:pPr>
            <w:r>
              <w:rPr>
                <w:rFonts w:ascii="Consolas" w:hAnsi="Consolas"/>
                <w:sz w:val="13"/>
              </w:rPr>
              <w:t>GeocodificacionService</w:t>
            </w:r>
            <w:r>
              <w:rPr>
                <w:sz w:val="16"/>
              </w:rPr>
              <w:t xml:space="preserve"> en </w:t>
            </w:r>
            <w:r>
              <w:rPr>
                <w:rFonts w:ascii="Consolas" w:hAnsi="Consolas"/>
                <w:sz w:val="13"/>
              </w:rPr>
              <w:t>modulos/acopios/geocodificacion.ts</w:t>
            </w:r>
            <w:r>
              <w:rPr>
                <w:sz w:val="16"/>
              </w:rPr>
              <w:t>, delante del geocodificador de Nominatim</w:t>
            </w:r>
          </w:p>
        </w:tc>
        <w:tc>
          <w:tcPr>
            <w:tcW w:type="dxa" w:w="1837"/>
          </w:tcPr>
          <w:p>
            <w:pPr>
              <w:spacing w:after="40"/>
              <w:jc w:val="left"/>
            </w:pPr>
            <w:r>
              <w:rPr>
                <w:sz w:val="16"/>
              </w:rPr>
              <w:t>El endpoint que convierte una dirección en coordenadas es público, y Nominatim permite una consulta por segundo</w:t>
            </w:r>
          </w:p>
        </w:tc>
        <w:tc>
          <w:tcPr>
            <w:tcW w:type="dxa" w:w="1837"/>
          </w:tcPr>
          <w:p>
            <w:pPr>
              <w:spacing w:after="40"/>
              <w:jc w:val="left"/>
            </w:pPr>
            <w:r>
              <w:rPr>
                <w:sz w:val="16"/>
              </w:rPr>
              <w:t>Caché de 24 horas, una cola con tope y una sola llamada para consultas iguales simultáneas. Quien geocodifica no sabe nada de eso</w:t>
            </w:r>
          </w:p>
        </w:tc>
        <w:tc>
          <w:tcPr>
            <w:tcW w:type="dxa" w:w="1837"/>
          </w:tcPr>
          <w:p>
            <w:pPr>
              <w:spacing w:after="40"/>
              <w:jc w:val="left"/>
            </w:pPr>
            <w:r>
              <w:rPr>
                <w:sz w:val="16"/>
              </w:rPr>
              <w:t>La caché vive en memoria: se pierde al reiniciar y no se comparte entre instancias de la API</w:t>
            </w:r>
          </w:p>
        </w:tc>
      </w:tr>
      <w:tr>
        <w:trPr>
          <w:cantSplit w:val="true"/>
        </w:trPr>
        <w:tc>
          <w:tcPr>
            <w:tcW w:type="dxa" w:w="1837"/>
          </w:tcPr>
          <w:p>
            <w:pPr>
              <w:spacing w:after="40"/>
              <w:jc w:val="left"/>
            </w:pPr>
            <w:r>
              <w:rPr>
                <w:sz w:val="16"/>
              </w:rPr>
              <w:t>Facade</w:t>
            </w:r>
          </w:p>
        </w:tc>
        <w:tc>
          <w:tcPr>
            <w:tcW w:type="dxa" w:w="1837"/>
          </w:tcPr>
          <w:p>
            <w:pPr>
              <w:spacing w:after="40"/>
              <w:jc w:val="left"/>
            </w:pPr>
            <w:r>
              <w:rPr>
                <w:rFonts w:ascii="Consolas" w:hAnsi="Consolas"/>
                <w:sz w:val="13"/>
              </w:rPr>
              <w:t>AlmacenamientoService</w:t>
            </w:r>
            <w:r>
              <w:rPr>
                <w:sz w:val="16"/>
              </w:rPr>
              <w:t xml:space="preserve"> en </w:t>
            </w:r>
            <w:r>
              <w:rPr>
                <w:rFonts w:ascii="Consolas" w:hAnsi="Consolas"/>
                <w:sz w:val="13"/>
              </w:rPr>
              <w:t>modulos/almacenamiento/</w:t>
            </w:r>
          </w:p>
        </w:tc>
        <w:tc>
          <w:tcPr>
            <w:tcW w:type="dxa" w:w="1837"/>
          </w:tcPr>
          <w:p>
            <w:pPr>
              <w:spacing w:after="40"/>
              <w:jc w:val="left"/>
            </w:pPr>
            <w:r>
              <w:rPr>
                <w:sz w:val="16"/>
              </w:rPr>
              <w:t>Guardar la foto de una factura exige convertirla a WebP, hacer la miniatura, subir las dos, borrar la primera si falla la segunda y firmar URLs</w:t>
            </w:r>
          </w:p>
        </w:tc>
        <w:tc>
          <w:tcPr>
            <w:tcW w:type="dxa" w:w="1837"/>
          </w:tcPr>
          <w:p>
            <w:pPr>
              <w:spacing w:after="40"/>
              <w:jc w:val="left"/>
            </w:pPr>
            <w:r>
              <w:rPr>
                <w:rFonts w:ascii="Consolas" w:hAnsi="Consolas"/>
                <w:sz w:val="13"/>
              </w:rPr>
              <w:t>FacturasService</w:t>
            </w:r>
            <w:r>
              <w:rPr>
                <w:sz w:val="16"/>
              </w:rPr>
              <w:t xml:space="preserve"> llama a </w:t>
            </w:r>
            <w:r>
              <w:rPr>
                <w:rFonts w:ascii="Consolas" w:hAnsi="Consolas"/>
                <w:sz w:val="13"/>
              </w:rPr>
              <w:t>guardarImagen</w:t>
            </w:r>
            <w:r>
              <w:rPr>
                <w:sz w:val="16"/>
              </w:rPr>
              <w:t xml:space="preserve"> y a </w:t>
            </w:r>
            <w:r>
              <w:rPr>
                <w:rFonts w:ascii="Consolas" w:hAnsi="Consolas"/>
                <w:sz w:val="13"/>
              </w:rPr>
              <w:t>urlFirmada</w:t>
            </w:r>
            <w:r>
              <w:rPr>
                <w:sz w:val="16"/>
              </w:rPr>
              <w:t xml:space="preserve"> y no sabe nada de sharp ni de S3</w:t>
            </w:r>
          </w:p>
        </w:tc>
        <w:tc>
          <w:tcPr>
            <w:tcW w:type="dxa" w:w="1837"/>
          </w:tcPr>
          <w:p>
            <w:pPr>
              <w:spacing w:after="40"/>
              <w:jc w:val="left"/>
            </w:pPr>
            <w:r>
              <w:rPr>
                <w:sz w:val="16"/>
              </w:rPr>
              <w:t>Si alguien necesita algo que la fachada no ofrece, tiene que ampliarla en vez de ir al almacén directamente</w:t>
            </w:r>
          </w:p>
        </w:tc>
      </w:tr>
    </w:tbl>
    <w:p>
      <w:pPr>
        <w:spacing w:after="40"/>
      </w:pPr>
    </w:p>
    <w:p>
      <w:pPr>
        <w:pStyle w:val="Ttulo2"/>
      </w:pPr>
      <w:r>
        <w:t>De comportamiento</w:t>
      </w:r>
    </w:p>
    <w:tbl>
      <w:tblPr>
        <w:tblStyle w:val="Tablaconcuadrcula"/>
        <w:tblW w:type="auto" w:w="0"/>
        <w:jc w:val="center"/>
        <w:tblLook w:firstColumn="1" w:firstRow="1" w:lastColumn="0" w:lastRow="0" w:noHBand="0" w:noVBand="1" w:val="04A0"/>
      </w:tblPr>
      <w:tblGrid>
        <w:gridCol w:w="1837"/>
        <w:gridCol w:w="1837"/>
        <w:gridCol w:w="1837"/>
        <w:gridCol w:w="1837"/>
        <w:gridCol w:w="1837"/>
      </w:tblGrid>
      <w:tr>
        <w:trPr>
          <w:cantSplit w:val="true"/>
          <w:tblHeader w:val="true"/>
        </w:trPr>
        <w:tc>
          <w:tcPr>
            <w:tcW w:type="dxa" w:w="1837"/>
            <w:shd w:val="clear" w:color="auto" w:fill="0F6E6E"/>
          </w:tcPr>
          <w:p>
            <w:pPr>
              <w:spacing w:after="40"/>
              <w:jc w:val="left"/>
            </w:pPr>
            <w:r>
              <w:rPr>
                <w:b/>
                <w:color w:val="FFFFFF"/>
                <w:sz w:val="16"/>
              </w:rPr>
              <w:t>Patrón</w:t>
            </w:r>
          </w:p>
        </w:tc>
        <w:tc>
          <w:tcPr>
            <w:tcW w:type="dxa" w:w="1837"/>
            <w:shd w:val="clear" w:color="auto" w:fill="0F6E6E"/>
          </w:tcPr>
          <w:p>
            <w:pPr>
              <w:spacing w:after="40"/>
              <w:jc w:val="left"/>
            </w:pPr>
            <w:r>
              <w:rPr>
                <w:b/>
                <w:color w:val="FFFFFF"/>
                <w:sz w:val="16"/>
              </w:rPr>
              <w:t>Dónde</w:t>
            </w:r>
          </w:p>
        </w:tc>
        <w:tc>
          <w:tcPr>
            <w:tcW w:type="dxa" w:w="1837"/>
            <w:shd w:val="clear" w:color="auto" w:fill="0F6E6E"/>
          </w:tcPr>
          <w:p>
            <w:pPr>
              <w:spacing w:after="40"/>
              <w:jc w:val="left"/>
            </w:pPr>
            <w:r>
              <w:rPr>
                <w:b/>
                <w:color w:val="FFFFFF"/>
                <w:sz w:val="16"/>
              </w:rPr>
              <w:t>Problema que resuelve</w:t>
            </w:r>
          </w:p>
        </w:tc>
        <w:tc>
          <w:tcPr>
            <w:tcW w:type="dxa" w:w="1837"/>
            <w:shd w:val="clear" w:color="auto" w:fill="0F6E6E"/>
          </w:tcPr>
          <w:p>
            <w:pPr>
              <w:spacing w:after="40"/>
              <w:jc w:val="left"/>
            </w:pPr>
            <w:r>
              <w:rPr>
                <w:b/>
                <w:color w:val="FFFFFF"/>
                <w:sz w:val="16"/>
              </w:rPr>
              <w:t>Beneficio</w:t>
            </w:r>
          </w:p>
        </w:tc>
        <w:tc>
          <w:tcPr>
            <w:tcW w:type="dxa" w:w="1837"/>
            <w:shd w:val="clear" w:color="auto" w:fill="0F6E6E"/>
          </w:tcPr>
          <w:p>
            <w:pPr>
              <w:spacing w:after="40"/>
              <w:jc w:val="left"/>
            </w:pPr>
            <w:r>
              <w:rPr>
                <w:b/>
                <w:color w:val="FFFFFF"/>
                <w:sz w:val="16"/>
              </w:rPr>
              <w:t>Complejidad</w:t>
            </w:r>
          </w:p>
        </w:tc>
      </w:tr>
      <w:tr>
        <w:trPr>
          <w:cantSplit w:val="true"/>
        </w:trPr>
        <w:tc>
          <w:tcPr>
            <w:tcW w:type="dxa" w:w="1837"/>
          </w:tcPr>
          <w:p>
            <w:pPr>
              <w:spacing w:after="40"/>
              <w:jc w:val="left"/>
            </w:pPr>
            <w:r>
              <w:rPr>
                <w:sz w:val="16"/>
              </w:rPr>
              <w:t>Chain of Responsibility</w:t>
            </w:r>
          </w:p>
        </w:tc>
        <w:tc>
          <w:tcPr>
            <w:tcW w:type="dxa" w:w="1837"/>
          </w:tcPr>
          <w:p>
            <w:pPr>
              <w:spacing w:after="40"/>
              <w:jc w:val="left"/>
            </w:pPr>
            <w:r>
              <w:rPr>
                <w:sz w:val="16"/>
              </w:rPr>
              <w:t xml:space="preserve">Los guards globales de </w:t>
            </w:r>
            <w:r>
              <w:rPr>
                <w:rFonts w:ascii="Consolas" w:hAnsi="Consolas"/>
                <w:sz w:val="13"/>
              </w:rPr>
              <w:t>app.module.ts</w:t>
            </w:r>
            <w:r>
              <w:rPr>
                <w:sz w:val="16"/>
              </w:rPr>
              <w:t xml:space="preserve">: </w:t>
            </w:r>
            <w:r>
              <w:rPr>
                <w:rFonts w:ascii="Consolas" w:hAnsi="Consolas"/>
                <w:sz w:val="13"/>
              </w:rPr>
              <w:t>OrigenGuard</w:t>
            </w:r>
            <w:r>
              <w:rPr>
                <w:sz w:val="16"/>
              </w:rPr>
              <w:t xml:space="preserve">, luego </w:t>
            </w:r>
            <w:r>
              <w:rPr>
                <w:rFonts w:ascii="Consolas" w:hAnsi="Consolas"/>
                <w:sz w:val="13"/>
              </w:rPr>
              <w:t>LimiteIntentosGuard</w:t>
            </w:r>
            <w:r>
              <w:rPr>
                <w:sz w:val="16"/>
              </w:rPr>
              <w:t xml:space="preserve">, luego </w:t>
            </w:r>
            <w:r>
              <w:rPr>
                <w:rFonts w:ascii="Consolas" w:hAnsi="Consolas"/>
                <w:sz w:val="13"/>
              </w:rPr>
              <w:t>AutenticacionGuard</w:t>
            </w:r>
            <w:r>
              <w:rPr>
                <w:sz w:val="16"/>
              </w:rPr>
              <w:t>. Después, el pipe de validación y el filtro de errores</w:t>
            </w:r>
          </w:p>
        </w:tc>
        <w:tc>
          <w:tcPr>
            <w:tcW w:type="dxa" w:w="1837"/>
          </w:tcPr>
          <w:p>
            <w:pPr>
              <w:spacing w:after="40"/>
              <w:jc w:val="left"/>
            </w:pPr>
            <w:r>
              <w:rPr>
                <w:sz w:val="16"/>
              </w:rPr>
              <w:t>Cada petición pasa por varias revisiones independientes: origen de las escrituras con cookie, límite de intentos, sesión y rol</w:t>
            </w:r>
          </w:p>
        </w:tc>
        <w:tc>
          <w:tcPr>
            <w:tcW w:type="dxa" w:w="1837"/>
          </w:tcPr>
          <w:p>
            <w:pPr>
              <w:spacing w:after="40"/>
              <w:jc w:val="left"/>
            </w:pPr>
            <w:r>
              <w:rPr>
                <w:sz w:val="16"/>
              </w:rPr>
              <w:t>Cada eslabón decide si deja pasar o corta con su error. Agregar una revisión es agregar un guard, sin tocar los demás</w:t>
            </w:r>
          </w:p>
        </w:tc>
        <w:tc>
          <w:tcPr>
            <w:tcW w:type="dxa" w:w="1837"/>
          </w:tcPr>
          <w:p>
            <w:pPr>
              <w:spacing w:after="40"/>
              <w:jc w:val="left"/>
            </w:pPr>
            <w:r>
              <w:rPr>
                <w:sz w:val="16"/>
              </w:rPr>
              <w:t>El orden importa y está en un solo arreglo. Un error en un eslabón corta la cadena y puede esconder lo que habrían dicho los siguientes</w:t>
            </w:r>
          </w:p>
        </w:tc>
      </w:tr>
      <w:tr>
        <w:trPr>
          <w:cantSplit w:val="true"/>
        </w:trPr>
        <w:tc>
          <w:tcPr>
            <w:tcW w:type="dxa" w:w="1837"/>
          </w:tcPr>
          <w:p>
            <w:pPr>
              <w:spacing w:after="40"/>
              <w:jc w:val="left"/>
            </w:pPr>
            <w:r>
              <w:rPr>
                <w:sz w:val="16"/>
              </w:rPr>
              <w:t>Strategy</w:t>
            </w:r>
          </w:p>
        </w:tc>
        <w:tc>
          <w:tcPr>
            <w:tcW w:type="dxa" w:w="1837"/>
          </w:tcPr>
          <w:p>
            <w:pPr>
              <w:spacing w:after="40"/>
              <w:jc w:val="left"/>
            </w:pPr>
            <w:r>
              <w:rPr>
                <w:sz w:val="16"/>
              </w:rPr>
              <w:t xml:space="preserve">El mismo puerto </w:t>
            </w:r>
            <w:r>
              <w:rPr>
                <w:rFonts w:ascii="Consolas" w:hAnsi="Consolas"/>
                <w:sz w:val="13"/>
              </w:rPr>
              <w:t>ProveedorIdentidad</w:t>
            </w:r>
            <w:r>
              <w:rPr>
                <w:sz w:val="16"/>
              </w:rPr>
              <w:t xml:space="preserve"> usado por </w:t>
            </w:r>
            <w:r>
              <w:rPr>
                <w:rFonts w:ascii="Consolas" w:hAnsi="Consolas"/>
                <w:sz w:val="13"/>
              </w:rPr>
              <w:t>SesionService</w:t>
            </w:r>
            <w:r>
              <w:rPr>
                <w:sz w:val="16"/>
              </w:rPr>
              <w:t xml:space="preserve"> e </w:t>
            </w:r>
            <w:r>
              <w:rPr>
                <w:rFonts w:ascii="Consolas" w:hAnsi="Consolas"/>
                <w:sz w:val="13"/>
              </w:rPr>
              <w:t>InvitacionesService</w:t>
            </w:r>
            <w:r>
              <w:rPr>
                <w:sz w:val="16"/>
              </w:rPr>
              <w:t xml:space="preserve">, y </w:t>
            </w:r>
            <w:r>
              <w:rPr>
                <w:rFonts w:ascii="Consolas" w:hAnsi="Consolas"/>
                <w:sz w:val="13"/>
              </w:rPr>
              <w:t>Almacen</w:t>
            </w:r>
            <w:r>
              <w:rPr>
                <w:sz w:val="16"/>
              </w:rPr>
              <w:t xml:space="preserve"> usado por </w:t>
            </w:r>
            <w:r>
              <w:rPr>
                <w:rFonts w:ascii="Consolas" w:hAnsi="Consolas"/>
                <w:sz w:val="13"/>
              </w:rPr>
              <w:t>AlmacenamientoService</w:t>
            </w:r>
          </w:p>
        </w:tc>
        <w:tc>
          <w:tcPr>
            <w:tcW w:type="dxa" w:w="1837"/>
          </w:tcPr>
          <w:p>
            <w:pPr>
              <w:spacing w:after="40"/>
              <w:jc w:val="left"/>
            </w:pPr>
            <w:r>
              <w:rPr>
                <w:sz w:val="16"/>
              </w:rPr>
              <w:t>Iniciar sesión o guardar un archivo tiene dos algoritmos válidos según el ambiente</w:t>
            </w:r>
          </w:p>
        </w:tc>
        <w:tc>
          <w:tcPr>
            <w:tcW w:type="dxa" w:w="1837"/>
          </w:tcPr>
          <w:p>
            <w:pPr>
              <w:spacing w:after="40"/>
              <w:jc w:val="left"/>
            </w:pPr>
            <w:r>
              <w:rPr>
                <w:sz w:val="16"/>
              </w:rPr>
              <w:t>Quien usa la estrategia no cambia al cambiarla. Las pruebas de integración inyectan la de memoria</w:t>
            </w:r>
          </w:p>
        </w:tc>
        <w:tc>
          <w:tcPr>
            <w:tcW w:type="dxa" w:w="1837"/>
          </w:tcPr>
          <w:p>
            <w:pPr>
              <w:spacing w:after="40"/>
              <w:jc w:val="left"/>
            </w:pPr>
            <w:r>
              <w:rPr>
                <w:sz w:val="16"/>
              </w:rPr>
              <w:t>Se solapa con Adapter en las mismas clases: el adaptador traduce la interfaz y la estrategia es poder intercambiarlas</w:t>
            </w:r>
          </w:p>
        </w:tc>
      </w:tr>
      <w:tr>
        <w:trPr>
          <w:cantSplit w:val="true"/>
        </w:trPr>
        <w:tc>
          <w:tcPr>
            <w:tcW w:type="dxa" w:w="1837"/>
          </w:tcPr>
          <w:p>
            <w:pPr>
              <w:spacing w:after="40"/>
              <w:jc w:val="left"/>
            </w:pPr>
            <w:r>
              <w:rPr>
                <w:sz w:val="16"/>
              </w:rPr>
              <w:t>Observer</w:t>
            </w:r>
          </w:p>
        </w:tc>
        <w:tc>
          <w:tcPr>
            <w:tcW w:type="dxa" w:w="1837"/>
          </w:tcPr>
          <w:p>
            <w:pPr>
              <w:spacing w:after="40"/>
              <w:jc w:val="left"/>
            </w:pPr>
            <w:r>
              <w:rPr>
                <w:sz w:val="16"/>
              </w:rPr>
              <w:t>TanStack Query en la web (</w:t>
            </w:r>
            <w:r>
              <w:rPr>
                <w:rFonts w:ascii="Consolas" w:hAnsi="Consolas"/>
                <w:sz w:val="13"/>
              </w:rPr>
              <w:t>apps/web/src/api/</w:t>
            </w:r>
            <w:r>
              <w:rPr>
                <w:sz w:val="16"/>
              </w:rPr>
              <w:t xml:space="preserve">): cada pantalla se suscribe a una consulta con un hook </w:t>
            </w:r>
            <w:r>
              <w:rPr>
                <w:rFonts w:ascii="Consolas" w:hAnsi="Consolas"/>
                <w:sz w:val="13"/>
              </w:rPr>
              <w:t>useAlgo</w:t>
            </w:r>
          </w:p>
        </w:tc>
        <w:tc>
          <w:tcPr>
            <w:tcW w:type="dxa" w:w="1837"/>
          </w:tcPr>
          <w:p>
            <w:pPr>
              <w:spacing w:after="40"/>
              <w:jc w:val="left"/>
            </w:pPr>
            <w:r>
              <w:rPr>
                <w:sz w:val="16"/>
              </w:rPr>
              <w:t>Varias pantallas muestran el mismo dato, por ejemplo los saldos de un acopio, y tienen que actualizarse juntas tras una salida</w:t>
            </w:r>
          </w:p>
        </w:tc>
        <w:tc>
          <w:tcPr>
            <w:tcW w:type="dxa" w:w="1837"/>
          </w:tcPr>
          <w:p>
            <w:pPr>
              <w:spacing w:after="40"/>
              <w:jc w:val="left"/>
            </w:pPr>
            <w:r>
              <w:rPr>
                <w:sz w:val="16"/>
              </w:rPr>
              <w:t>Al invalidar una consulta después de una escritura, todas las suscritas se vuelven a pintar</w:t>
            </w:r>
          </w:p>
        </w:tc>
        <w:tc>
          <w:tcPr>
            <w:tcW w:type="dxa" w:w="1837"/>
          </w:tcPr>
          <w:p>
            <w:pPr>
              <w:spacing w:after="40"/>
              <w:jc w:val="left"/>
            </w:pPr>
            <w:r>
              <w:rPr>
                <w:sz w:val="16"/>
              </w:rPr>
              <w:t>Hay que saber qué consultas invalidar después de cada escritura; si falta una, la pantalla muestra datos viejos</w:t>
            </w:r>
          </w:p>
        </w:tc>
      </w:tr>
    </w:tbl>
    <w:p>
      <w:pPr>
        <w:spacing w:after="40"/>
      </w:pPr>
    </w:p>
    <w:p>
      <w:r>
        <w:br w:type="page"/>
      </w:r>
    </w:p>
    <w:p>
      <w:pPr>
        <w:pStyle w:val="Ttulo1"/>
      </w:pPr>
      <w:r>
        <w:t>3. Registro documental del Sprint</w:t>
      </w:r>
    </w:p>
    <w:p>
      <w:pPr>
        <w:pStyle w:val="Ttulo2"/>
      </w:pPr>
      <w:r>
        <w:t>3a. Sprint Planning</w:t>
      </w:r>
    </w:p>
    <w:p>
      <w:r>
        <w:t>El sprint va del 12 al 25 de octubre, con la Review en la validación de clase del viernes 23 (</w:t>
      </w:r>
      <w:r>
        <w:t>P-047</w:t>
      </w:r>
      <w:r>
        <w:t>).</w:t>
      </w:r>
    </w:p>
    <w:tbl>
      <w:tblPr>
        <w:tblStyle w:val="Tablaconcuadrcula"/>
        <w:tblW w:type="auto" w:w="0"/>
        <w:jc w:val="center"/>
        <w:tblLook w:firstColumn="1" w:firstRow="1" w:lastColumn="0" w:lastRow="0" w:noHBand="0" w:noVBand="1" w:val="04A0"/>
      </w:tblPr>
      <w:tblGrid>
        <w:gridCol w:w="4592"/>
        <w:gridCol w:w="4592"/>
      </w:tblGrid>
      <w:tr>
        <w:trPr>
          <w:cantSplit w:val="true"/>
          <w:tblHeader w:val="true"/>
        </w:trPr>
        <w:tc>
          <w:tcPr>
            <w:tcW w:type="dxa" w:w="2268"/>
            <w:shd w:val="clear" w:color="auto" w:fill="0F6E6E"/>
          </w:tcPr>
          <w:p>
            <w:pPr>
              <w:spacing w:after="40"/>
              <w:jc w:val="left"/>
            </w:pPr>
            <w:r>
              <w:rPr>
                <w:b/>
                <w:color w:val="FFFFFF"/>
                <w:sz w:val="16"/>
              </w:rPr>
              <w:t>Elemento</w:t>
            </w:r>
          </w:p>
        </w:tc>
        <w:tc>
          <w:tcPr>
            <w:tcW w:type="dxa" w:w="6916"/>
            <w:shd w:val="clear" w:color="auto" w:fill="0F6E6E"/>
          </w:tcPr>
          <w:p>
            <w:pPr>
              <w:spacing w:after="40"/>
              <w:jc w:val="left"/>
            </w:pPr>
            <w:r>
              <w:rPr>
                <w:b/>
                <w:color w:val="FFFFFF"/>
                <w:sz w:val="16"/>
              </w:rPr>
              <w:t>Descripción</w:t>
            </w:r>
          </w:p>
        </w:tc>
      </w:tr>
      <w:tr>
        <w:trPr>
          <w:cantSplit w:val="true"/>
        </w:trPr>
        <w:tc>
          <w:tcPr>
            <w:tcW w:type="dxa" w:w="2268"/>
          </w:tcPr>
          <w:p>
            <w:pPr>
              <w:spacing w:after="40"/>
              <w:jc w:val="left"/>
            </w:pPr>
            <w:r>
              <w:rPr>
                <w:sz w:val="16"/>
              </w:rPr>
              <w:t>Sprint Goal</w:t>
            </w:r>
          </w:p>
        </w:tc>
        <w:tc>
          <w:tcPr>
            <w:tcW w:type="dxa" w:w="6916"/>
          </w:tcPr>
          <w:p>
            <w:pPr>
              <w:spacing w:after="40"/>
              <w:jc w:val="left"/>
            </w:pPr>
            <w:r>
              <w:rPr>
                <w:sz w:val="16"/>
              </w:rPr>
              <w:t>El administrador decide cada traslado con el ranking del motor y lo despacha con una remisión que la zona confirma al recibir, y el portal muestra solo causas de entidades verificadas</w:t>
            </w:r>
          </w:p>
        </w:tc>
      </w:tr>
      <w:tr>
        <w:trPr>
          <w:cantSplit w:val="true"/>
        </w:trPr>
        <w:tc>
          <w:tcPr>
            <w:tcW w:type="dxa" w:w="2268"/>
          </w:tcPr>
          <w:p>
            <w:pPr>
              <w:spacing w:after="40"/>
              <w:jc w:val="left"/>
            </w:pPr>
            <w:r>
              <w:rPr>
                <w:sz w:val="16"/>
              </w:rPr>
              <w:t>Historias seleccionadas</w:t>
            </w:r>
          </w:p>
        </w:tc>
        <w:tc>
          <w:tcPr>
            <w:tcW w:type="dxa" w:w="6916"/>
          </w:tcPr>
          <w:p>
            <w:pPr>
              <w:spacing w:after="40"/>
              <w:jc w:val="left"/>
            </w:pPr>
            <w:r>
              <w:rPr>
                <w:sz w:val="16"/>
              </w:rPr>
              <w:t xml:space="preserve">Del Sprint 1, sin terminar: HU-10a Ver a dónde falta y de dónde sobra (8) y HU-10b Aprobar o descartar un traslado (5). Nuevas: HU-11 Despachar con un documento verificable (5), HU-12 Confirmar la llegada sin contar unidad por unidad (3) y HU-13 Contar lo que la fórmula no ve (3). Pendientes del Sprint 1: HU-02 Donar a una causa real (3) y HU-15 No dirigir donantes a una estafa (3). Suman 30 puntos. Los criterios de aceptación están en el </w:t>
            </w:r>
            <w:r>
              <w:rPr>
                <w:sz w:val="16"/>
              </w:rPr>
              <w:t>Avance 2</w:t>
            </w:r>
          </w:p>
        </w:tc>
      </w:tr>
      <w:tr>
        <w:trPr>
          <w:cantSplit w:val="true"/>
        </w:trPr>
        <w:tc>
          <w:tcPr>
            <w:tcW w:type="dxa" w:w="2268"/>
          </w:tcPr>
          <w:p>
            <w:pPr>
              <w:spacing w:after="40"/>
              <w:jc w:val="left"/>
            </w:pPr>
            <w:r>
              <w:rPr>
                <w:sz w:val="16"/>
              </w:rPr>
              <w:t>Tareas técnicas</w:t>
            </w:r>
          </w:p>
        </w:tc>
        <w:tc>
          <w:tcPr>
            <w:tcW w:type="dxa" w:w="6916"/>
          </w:tcPr>
          <w:p>
            <w:pPr>
              <w:spacing w:after="40"/>
              <w:jc w:val="left"/>
            </w:pPr>
            <w:r>
              <w:rPr>
                <w:sz w:val="16"/>
              </w:rPr>
              <w:t>DAO, DTO y patrones de diseño (</w:t>
            </w:r>
            <w:r>
              <w:rPr>
                <w:sz w:val="16"/>
              </w:rPr>
              <w:t>#59</w:t>
            </w:r>
            <w:r>
              <w:rPr>
                <w:sz w:val="16"/>
              </w:rPr>
              <w:t>). API de la etapa 2 del motor y simulador (</w:t>
            </w:r>
            <w:r>
              <w:rPr>
                <w:sz w:val="16"/>
              </w:rPr>
              <w:t>#46</w:t>
            </w:r>
            <w:r>
              <w:rPr>
                <w:sz w:val="16"/>
              </w:rPr>
              <w:t>). Contrato OpenAPI sin arreglos en los nullable (</w:t>
            </w:r>
            <w:r>
              <w:rPr>
                <w:sz w:val="16"/>
              </w:rPr>
              <w:t>#38</w:t>
            </w:r>
            <w:r>
              <w:rPr>
                <w:sz w:val="16"/>
              </w:rPr>
              <w:t>). Maquetas en Stitch de C10, C11 y las pantallas de remisión y recepción. Interfaz del motor en tres ciclos (</w:t>
            </w:r>
            <w:r>
              <w:rPr>
                <w:sz w:val="16"/>
              </w:rPr>
              <w:t>#35</w:t>
            </w:r>
            <w:r>
              <w:rPr>
                <w:sz w:val="16"/>
              </w:rPr>
              <w:t>). Pieza C del Bloque 1: verificación de entidades y causas (</w:t>
            </w:r>
            <w:r>
              <w:rPr>
                <w:sz w:val="16"/>
              </w:rPr>
              <w:t>#48</w:t>
            </w:r>
            <w:r>
              <w:rPr>
                <w:sz w:val="16"/>
              </w:rPr>
              <w:t>). Servidor de pruebas (</w:t>
            </w:r>
            <w:r>
              <w:rPr>
                <w:sz w:val="16"/>
              </w:rPr>
              <w:t>#26</w:t>
            </w:r>
            <w:r>
              <w:rPr>
                <w:sz w:val="16"/>
              </w:rPr>
              <w:t>)</w:t>
            </w:r>
          </w:p>
        </w:tc>
      </w:tr>
      <w:tr>
        <w:trPr>
          <w:cantSplit w:val="true"/>
        </w:trPr>
        <w:tc>
          <w:tcPr>
            <w:tcW w:type="dxa" w:w="2268"/>
          </w:tcPr>
          <w:p>
            <w:pPr>
              <w:spacing w:after="40"/>
              <w:jc w:val="left"/>
            </w:pPr>
            <w:r>
              <w:rPr>
                <w:sz w:val="16"/>
              </w:rPr>
              <w:t>Responsables iniciales</w:t>
            </w:r>
          </w:p>
        </w:tc>
        <w:tc>
          <w:tcPr>
            <w:tcW w:type="dxa" w:w="6916"/>
          </w:tcPr>
          <w:p>
            <w:pPr>
              <w:spacing w:after="40"/>
              <w:jc w:val="left"/>
            </w:pPr>
            <w:r>
              <w:rPr>
                <w:sz w:val="16"/>
              </w:rPr>
              <w:t>Según los roles del Sprint 0 (</w:t>
            </w:r>
            <w:r>
              <w:rPr>
                <w:sz w:val="16"/>
              </w:rPr>
              <w:t>Avance 1, §5</w:t>
            </w:r>
            <w:r>
              <w:rPr>
                <w:sz w:val="16"/>
              </w:rPr>
              <w:t>): Joseph, arquitectura, modelo de datos e integración; Brayan, requerimientos y diseño UI/UX; Alejandra, coordinación del sprint y documentación; Michael, calidad, pruebas y despliegue. El responsable hace el seguimiento de su área; la programación se reparte entre los cuatro. Detalle por tarea en la tabla de abajo</w:t>
            </w:r>
          </w:p>
        </w:tc>
      </w:tr>
      <w:tr>
        <w:trPr>
          <w:cantSplit w:val="true"/>
        </w:trPr>
        <w:tc>
          <w:tcPr>
            <w:tcW w:type="dxa" w:w="2268"/>
          </w:tcPr>
          <w:p>
            <w:pPr>
              <w:spacing w:after="40"/>
              <w:jc w:val="left"/>
            </w:pPr>
            <w:r>
              <w:rPr>
                <w:sz w:val="16"/>
              </w:rPr>
              <w:t>Dependencias o riesgos</w:t>
            </w:r>
          </w:p>
        </w:tc>
        <w:tc>
          <w:tcPr>
            <w:tcW w:type="dxa" w:w="6916"/>
          </w:tcPr>
          <w:p>
            <w:pPr>
              <w:spacing w:after="40"/>
              <w:jc w:val="left"/>
            </w:pPr>
            <w:r>
              <w:rPr>
                <w:sz w:val="16"/>
              </w:rPr>
              <w:t>La interfaz del motor depende de la API de la etapa 2 y de las maquetas aprobadas. El servidor de pruebas depende de decidir proveedor, dominio y remitente antes del 18 de octubre. Microsoft 365 retira el SMTP con contraseña a fines de 2026 (RTA-04)</w:t>
            </w:r>
          </w:p>
        </w:tc>
      </w:tr>
      <w:tr>
        <w:trPr>
          <w:cantSplit w:val="true"/>
        </w:trPr>
        <w:tc>
          <w:tcPr>
            <w:tcW w:type="dxa" w:w="2268"/>
          </w:tcPr>
          <w:p>
            <w:pPr>
              <w:spacing w:after="40"/>
              <w:jc w:val="left"/>
            </w:pPr>
            <w:r>
              <w:rPr>
                <w:sz w:val="16"/>
              </w:rPr>
              <w:t>Definition of Done</w:t>
            </w:r>
          </w:p>
        </w:tc>
        <w:tc>
          <w:tcPr>
            <w:tcW w:type="dxa" w:w="6916"/>
          </w:tcPr>
          <w:p>
            <w:pPr>
              <w:spacing w:after="40"/>
              <w:jc w:val="left"/>
            </w:pPr>
            <w:r>
              <w:rPr>
                <w:sz w:val="16"/>
              </w:rPr>
              <w:t>La misma del Sprint 1 (</w:t>
            </w:r>
            <w:r>
              <w:rPr>
                <w:sz w:val="16"/>
              </w:rPr>
              <w:t>Avance 4</w:t>
            </w:r>
            <w:r>
              <w:rPr>
                <w:sz w:val="16"/>
              </w:rPr>
              <w:t>), con un punto más: el cambio entra por un pull request con el CI en verde, que Joseph revisa y fusiona (</w:t>
            </w:r>
            <w:r>
              <w:rPr>
                <w:sz w:val="16"/>
              </w:rPr>
              <w:t>P-051</w:t>
            </w:r>
            <w:r>
              <w:rPr>
                <w:sz w:val="16"/>
              </w:rPr>
              <w:t>)</w:t>
            </w:r>
          </w:p>
        </w:tc>
      </w:tr>
    </w:tbl>
    <w:p>
      <w:pPr>
        <w:spacing w:after="40"/>
      </w:pPr>
    </w:p>
    <w:p>
      <w:r>
        <w:t>Cada tarea queda con quien tiene ese rol desde el Sprint 0. Una tarea con responsable no es de una sola persona: el responsable garantiza que avance y quede documentada.</w:t>
      </w:r>
    </w:p>
    <w:tbl>
      <w:tblPr>
        <w:tblStyle w:val="Tablaconcuadrcula"/>
        <w:tblW w:type="auto" w:w="0"/>
        <w:jc w:val="center"/>
        <w:tblLook w:firstColumn="1" w:firstRow="1" w:lastColumn="0" w:lastRow="0" w:noHBand="0" w:noVBand="1" w:val="04A0"/>
      </w:tblPr>
      <w:tblGrid>
        <w:gridCol w:w="2296"/>
        <w:gridCol w:w="2296"/>
        <w:gridCol w:w="2296"/>
        <w:gridCol w:w="2296"/>
      </w:tblGrid>
      <w:tr>
        <w:trPr>
          <w:cantSplit w:val="true"/>
          <w:tblHeader w:val="true"/>
        </w:trPr>
        <w:tc>
          <w:tcPr>
            <w:tcW w:type="dxa" w:w="2296"/>
            <w:shd w:val="clear" w:color="auto" w:fill="0F6E6E"/>
          </w:tcPr>
          <w:p>
            <w:pPr>
              <w:spacing w:after="40"/>
              <w:jc w:val="left"/>
            </w:pPr>
            <w:r>
              <w:rPr>
                <w:b/>
                <w:color w:val="FFFFFF"/>
                <w:sz w:val="16"/>
              </w:rPr>
              <w:t>Tarea</w:t>
            </w:r>
          </w:p>
        </w:tc>
        <w:tc>
          <w:tcPr>
            <w:tcW w:type="dxa" w:w="2296"/>
            <w:shd w:val="clear" w:color="auto" w:fill="0F6E6E"/>
          </w:tcPr>
          <w:p>
            <w:pPr>
              <w:spacing w:after="40"/>
              <w:jc w:val="left"/>
            </w:pPr>
            <w:r>
              <w:rPr>
                <w:b/>
                <w:color w:val="FFFFFF"/>
                <w:sz w:val="16"/>
              </w:rPr>
              <w:t>Responsable</w:t>
            </w:r>
          </w:p>
        </w:tc>
        <w:tc>
          <w:tcPr>
            <w:tcW w:type="dxa" w:w="2296"/>
            <w:shd w:val="clear" w:color="auto" w:fill="0F6E6E"/>
          </w:tcPr>
          <w:p>
            <w:pPr>
              <w:spacing w:after="40"/>
              <w:jc w:val="left"/>
            </w:pPr>
            <w:r>
              <w:rPr>
                <w:b/>
                <w:color w:val="FFFFFF"/>
                <w:sz w:val="16"/>
              </w:rPr>
              <w:t>Rol del Sprint 0</w:t>
            </w:r>
          </w:p>
        </w:tc>
        <w:tc>
          <w:tcPr>
            <w:tcW w:type="dxa" w:w="2296"/>
            <w:shd w:val="clear" w:color="auto" w:fill="0F6E6E"/>
          </w:tcPr>
          <w:p>
            <w:pPr>
              <w:spacing w:after="40"/>
              <w:jc w:val="left"/>
            </w:pPr>
            <w:r>
              <w:rPr>
                <w:b/>
                <w:color w:val="FFFFFF"/>
                <w:sz w:val="16"/>
              </w:rPr>
              <w:t>Apoyo</w:t>
            </w:r>
          </w:p>
        </w:tc>
      </w:tr>
      <w:tr>
        <w:trPr>
          <w:cantSplit w:val="true"/>
        </w:trPr>
        <w:tc>
          <w:tcPr>
            <w:tcW w:type="dxa" w:w="2296"/>
          </w:tcPr>
          <w:p>
            <w:pPr>
              <w:spacing w:after="40"/>
              <w:jc w:val="left"/>
            </w:pPr>
            <w:r>
              <w:rPr>
                <w:sz w:val="16"/>
              </w:rPr>
              <w:t>Validar los criterios de aceptación de las siete historias antes de construir</w:t>
            </w:r>
          </w:p>
        </w:tc>
        <w:tc>
          <w:tcPr>
            <w:tcW w:type="dxa" w:w="2296"/>
          </w:tcPr>
          <w:p>
            <w:pPr>
              <w:spacing w:after="40"/>
              <w:jc w:val="left"/>
            </w:pPr>
            <w:r>
              <w:rPr>
                <w:sz w:val="16"/>
              </w:rPr>
              <w:t>Brayan</w:t>
            </w:r>
          </w:p>
        </w:tc>
        <w:tc>
          <w:tcPr>
            <w:tcW w:type="dxa" w:w="2296"/>
          </w:tcPr>
          <w:p>
            <w:pPr>
              <w:spacing w:after="40"/>
              <w:jc w:val="left"/>
            </w:pPr>
            <w:r>
              <w:rPr>
                <w:sz w:val="16"/>
              </w:rPr>
              <w:t>Análisis de requerimientos</w:t>
            </w:r>
          </w:p>
        </w:tc>
        <w:tc>
          <w:tcPr>
            <w:tcW w:type="dxa" w:w="2296"/>
          </w:tcPr>
          <w:p>
            <w:pPr>
              <w:spacing w:after="40"/>
              <w:jc w:val="left"/>
            </w:pPr>
            <w:r>
              <w:rPr>
                <w:sz w:val="16"/>
              </w:rPr>
              <w:t>Alejandra los deja en el tablero</w:t>
            </w:r>
          </w:p>
        </w:tc>
      </w:tr>
      <w:tr>
        <w:trPr>
          <w:cantSplit w:val="true"/>
        </w:trPr>
        <w:tc>
          <w:tcPr>
            <w:tcW w:type="dxa" w:w="2296"/>
          </w:tcPr>
          <w:p>
            <w:pPr>
              <w:spacing w:after="40"/>
              <w:jc w:val="left"/>
            </w:pPr>
            <w:r>
              <w:rPr>
                <w:sz w:val="16"/>
              </w:rPr>
              <w:t>Maquetas en Stitch de C10, C11, remisión, recepción y P3 y P4 (causas)</w:t>
            </w:r>
          </w:p>
        </w:tc>
        <w:tc>
          <w:tcPr>
            <w:tcW w:type="dxa" w:w="2296"/>
          </w:tcPr>
          <w:p>
            <w:pPr>
              <w:spacing w:after="40"/>
              <w:jc w:val="left"/>
            </w:pPr>
            <w:r>
              <w:rPr>
                <w:sz w:val="16"/>
              </w:rPr>
              <w:t>Brayan</w:t>
            </w:r>
          </w:p>
        </w:tc>
        <w:tc>
          <w:tcPr>
            <w:tcW w:type="dxa" w:w="2296"/>
          </w:tcPr>
          <w:p>
            <w:pPr>
              <w:spacing w:after="40"/>
              <w:jc w:val="left"/>
            </w:pPr>
            <w:r>
              <w:rPr>
                <w:sz w:val="16"/>
              </w:rPr>
              <w:t>Diseño UI/UX</w:t>
            </w:r>
          </w:p>
        </w:tc>
        <w:tc>
          <w:tcPr>
            <w:tcW w:type="dxa" w:w="2296"/>
          </w:tcPr>
          <w:p>
            <w:pPr>
              <w:spacing w:after="40"/>
              <w:jc w:val="left"/>
            </w:pPr>
            <w:r>
              <w:rPr>
                <w:sz w:val="16"/>
              </w:rPr>
              <w:t>Joseph las aprueba antes de escribir código</w:t>
            </w:r>
          </w:p>
        </w:tc>
      </w:tr>
      <w:tr>
        <w:trPr>
          <w:cantSplit w:val="true"/>
        </w:trPr>
        <w:tc>
          <w:tcPr>
            <w:tcW w:type="dxa" w:w="2296"/>
          </w:tcPr>
          <w:p>
            <w:pPr>
              <w:spacing w:after="40"/>
              <w:jc w:val="left"/>
            </w:pPr>
            <w:r>
              <w:rPr>
                <w:sz w:val="16"/>
              </w:rPr>
              <w:t>Modelo de datos y migraciones de la pieza C (</w:t>
            </w:r>
            <w:r>
              <w:rPr>
                <w:sz w:val="16"/>
              </w:rPr>
              <w:t>#48</w:t>
            </w:r>
            <w:r>
              <w:rPr>
                <w:sz w:val="16"/>
              </w:rPr>
              <w:t>)</w:t>
            </w:r>
          </w:p>
        </w:tc>
        <w:tc>
          <w:tcPr>
            <w:tcW w:type="dxa" w:w="2296"/>
          </w:tcPr>
          <w:p>
            <w:pPr>
              <w:spacing w:after="40"/>
              <w:jc w:val="left"/>
            </w:pPr>
            <w:r>
              <w:rPr>
                <w:sz w:val="16"/>
              </w:rPr>
              <w:t>Joseph</w:t>
            </w:r>
          </w:p>
        </w:tc>
        <w:tc>
          <w:tcPr>
            <w:tcW w:type="dxa" w:w="2296"/>
          </w:tcPr>
          <w:p>
            <w:pPr>
              <w:spacing w:after="40"/>
              <w:jc w:val="left"/>
            </w:pPr>
            <w:r>
              <w:rPr>
                <w:sz w:val="16"/>
              </w:rPr>
              <w:t>Arquitectura y modelo de datos</w:t>
            </w:r>
          </w:p>
        </w:tc>
        <w:tc>
          <w:tcPr>
            <w:tcW w:type="dxa" w:w="2296"/>
          </w:tcPr>
          <w:p>
            <w:pPr>
              <w:spacing w:after="40"/>
              <w:jc w:val="left"/>
            </w:pPr>
          </w:p>
        </w:tc>
      </w:tr>
      <w:tr>
        <w:trPr>
          <w:cantSplit w:val="true"/>
        </w:trPr>
        <w:tc>
          <w:tcPr>
            <w:tcW w:type="dxa" w:w="2296"/>
          </w:tcPr>
          <w:p>
            <w:pPr>
              <w:spacing w:after="40"/>
              <w:jc w:val="left"/>
            </w:pPr>
            <w:r>
              <w:rPr>
                <w:sz w:val="16"/>
              </w:rPr>
              <w:t>API de la etapa 2 del motor y simulador (</w:t>
            </w:r>
            <w:r>
              <w:rPr>
                <w:sz w:val="16"/>
              </w:rPr>
              <w:t>#46</w:t>
            </w:r>
            <w:r>
              <w:rPr>
                <w:sz w:val="16"/>
              </w:rPr>
              <w:t>)</w:t>
            </w:r>
          </w:p>
        </w:tc>
        <w:tc>
          <w:tcPr>
            <w:tcW w:type="dxa" w:w="2296"/>
          </w:tcPr>
          <w:p>
            <w:pPr>
              <w:spacing w:after="40"/>
              <w:jc w:val="left"/>
            </w:pPr>
            <w:r>
              <w:rPr>
                <w:sz w:val="16"/>
              </w:rPr>
              <w:t>Joseph</w:t>
            </w:r>
          </w:p>
        </w:tc>
        <w:tc>
          <w:tcPr>
            <w:tcW w:type="dxa" w:w="2296"/>
          </w:tcPr>
          <w:p>
            <w:pPr>
              <w:spacing w:after="40"/>
              <w:jc w:val="left"/>
            </w:pPr>
            <w:r>
              <w:rPr>
                <w:sz w:val="16"/>
              </w:rPr>
              <w:t>Arquitectura e integración</w:t>
            </w:r>
          </w:p>
        </w:tc>
        <w:tc>
          <w:tcPr>
            <w:tcW w:type="dxa" w:w="2296"/>
          </w:tcPr>
          <w:p>
            <w:pPr>
              <w:spacing w:after="40"/>
              <w:jc w:val="left"/>
            </w:pPr>
            <w:r>
              <w:rPr>
                <w:sz w:val="16"/>
              </w:rPr>
              <w:t>Michael, pruebas de integración</w:t>
            </w:r>
          </w:p>
        </w:tc>
      </w:tr>
      <w:tr>
        <w:trPr>
          <w:cantSplit w:val="true"/>
        </w:trPr>
        <w:tc>
          <w:tcPr>
            <w:tcW w:type="dxa" w:w="2296"/>
          </w:tcPr>
          <w:p>
            <w:pPr>
              <w:spacing w:after="40"/>
              <w:jc w:val="left"/>
            </w:pPr>
            <w:r>
              <w:rPr>
                <w:sz w:val="16"/>
              </w:rPr>
              <w:t>Contrato OpenAPI sin arreglos en los nullable (</w:t>
            </w:r>
            <w:r>
              <w:rPr>
                <w:sz w:val="16"/>
              </w:rPr>
              <w:t>#38</w:t>
            </w:r>
            <w:r>
              <w:rPr>
                <w:sz w:val="16"/>
              </w:rPr>
              <w:t>)</w:t>
            </w:r>
          </w:p>
        </w:tc>
        <w:tc>
          <w:tcPr>
            <w:tcW w:type="dxa" w:w="2296"/>
          </w:tcPr>
          <w:p>
            <w:pPr>
              <w:spacing w:after="40"/>
              <w:jc w:val="left"/>
            </w:pPr>
            <w:r>
              <w:rPr>
                <w:sz w:val="16"/>
              </w:rPr>
              <w:t>Joseph</w:t>
            </w:r>
          </w:p>
        </w:tc>
        <w:tc>
          <w:tcPr>
            <w:tcW w:type="dxa" w:w="2296"/>
          </w:tcPr>
          <w:p>
            <w:pPr>
              <w:spacing w:after="40"/>
              <w:jc w:val="left"/>
            </w:pPr>
            <w:r>
              <w:rPr>
                <w:sz w:val="16"/>
              </w:rPr>
              <w:t>Integración entre la web y la API</w:t>
            </w:r>
          </w:p>
        </w:tc>
        <w:tc>
          <w:tcPr>
            <w:tcW w:type="dxa" w:w="2296"/>
          </w:tcPr>
          <w:p>
            <w:pPr>
              <w:spacing w:after="40"/>
              <w:jc w:val="left"/>
            </w:pPr>
            <w:r>
              <w:rPr>
                <w:sz w:val="16"/>
              </w:rPr>
              <w:t>Michael revisa</w:t>
            </w:r>
          </w:p>
        </w:tc>
      </w:tr>
      <w:tr>
        <w:trPr>
          <w:cantSplit w:val="true"/>
        </w:trPr>
        <w:tc>
          <w:tcPr>
            <w:tcW w:type="dxa" w:w="2296"/>
          </w:tcPr>
          <w:p>
            <w:pPr>
              <w:spacing w:after="40"/>
              <w:jc w:val="left"/>
            </w:pPr>
            <w:r>
              <w:rPr>
                <w:sz w:val="16"/>
              </w:rPr>
              <w:t>Interfaz del motor en tres ciclos (</w:t>
            </w:r>
            <w:r>
              <w:rPr>
                <w:sz w:val="16"/>
              </w:rPr>
              <w:t>#35</w:t>
            </w:r>
            <w:r>
              <w:rPr>
                <w:sz w:val="16"/>
              </w:rPr>
              <w:t>)</w:t>
            </w:r>
          </w:p>
        </w:tc>
        <w:tc>
          <w:tcPr>
            <w:tcW w:type="dxa" w:w="2296"/>
          </w:tcPr>
          <w:p>
            <w:pPr>
              <w:spacing w:after="40"/>
              <w:jc w:val="left"/>
            </w:pPr>
            <w:r>
              <w:rPr>
                <w:sz w:val="16"/>
              </w:rPr>
              <w:t>Joseph</w:t>
            </w:r>
          </w:p>
        </w:tc>
        <w:tc>
          <w:tcPr>
            <w:tcW w:type="dxa" w:w="2296"/>
          </w:tcPr>
          <w:p>
            <w:pPr>
              <w:spacing w:after="40"/>
              <w:jc w:val="left"/>
            </w:pPr>
            <w:r>
              <w:rPr>
                <w:sz w:val="16"/>
              </w:rPr>
              <w:t>Liderazgo de integración</w:t>
            </w:r>
          </w:p>
        </w:tc>
        <w:tc>
          <w:tcPr>
            <w:tcW w:type="dxa" w:w="2296"/>
          </w:tcPr>
          <w:p>
            <w:pPr>
              <w:spacing w:after="40"/>
              <w:jc w:val="left"/>
            </w:pPr>
            <w:r>
              <w:rPr>
                <w:sz w:val="16"/>
              </w:rPr>
              <w:t>Brayan, maquetas; Michael, recorridos</w:t>
            </w:r>
          </w:p>
        </w:tc>
      </w:tr>
      <w:tr>
        <w:trPr>
          <w:cantSplit w:val="true"/>
        </w:trPr>
        <w:tc>
          <w:tcPr>
            <w:tcW w:type="dxa" w:w="2296"/>
          </w:tcPr>
          <w:p>
            <w:pPr>
              <w:spacing w:after="40"/>
              <w:jc w:val="left"/>
            </w:pPr>
            <w:r>
              <w:rPr>
                <w:sz w:val="16"/>
              </w:rPr>
              <w:t>API e interfaz de la pieza C (</w:t>
            </w:r>
            <w:r>
              <w:rPr>
                <w:sz w:val="16"/>
              </w:rPr>
              <w:t>#48</w:t>
            </w:r>
            <w:r>
              <w:rPr>
                <w:sz w:val="16"/>
              </w:rPr>
              <w:t>)</w:t>
            </w:r>
          </w:p>
        </w:tc>
        <w:tc>
          <w:tcPr>
            <w:tcW w:type="dxa" w:w="2296"/>
          </w:tcPr>
          <w:p>
            <w:pPr>
              <w:spacing w:after="40"/>
              <w:jc w:val="left"/>
            </w:pPr>
            <w:r>
              <w:rPr>
                <w:sz w:val="16"/>
              </w:rPr>
              <w:t>Se reparte en el Planning</w:t>
            </w:r>
          </w:p>
        </w:tc>
        <w:tc>
          <w:tcPr>
            <w:tcW w:type="dxa" w:w="2296"/>
          </w:tcPr>
          <w:p>
            <w:pPr>
              <w:spacing w:after="40"/>
              <w:jc w:val="left"/>
            </w:pPr>
            <w:r>
              <w:rPr>
                <w:sz w:val="16"/>
              </w:rPr>
              <w:t>Desarrollo compartido</w:t>
            </w:r>
          </w:p>
        </w:tc>
        <w:tc>
          <w:tcPr>
            <w:tcW w:type="dxa" w:w="2296"/>
          </w:tcPr>
          <w:p>
            <w:pPr>
              <w:spacing w:after="40"/>
              <w:jc w:val="left"/>
            </w:pPr>
          </w:p>
        </w:tc>
      </w:tr>
      <w:tr>
        <w:trPr>
          <w:cantSplit w:val="true"/>
        </w:trPr>
        <w:tc>
          <w:tcPr>
            <w:tcW w:type="dxa" w:w="2296"/>
          </w:tcPr>
          <w:p>
            <w:pPr>
              <w:spacing w:after="40"/>
              <w:jc w:val="left"/>
            </w:pPr>
            <w:r>
              <w:rPr>
                <w:sz w:val="16"/>
              </w:rPr>
              <w:t>Pruebas y recorridos de punta a punta del motor y de la pieza C</w:t>
            </w:r>
          </w:p>
        </w:tc>
        <w:tc>
          <w:tcPr>
            <w:tcW w:type="dxa" w:w="2296"/>
          </w:tcPr>
          <w:p>
            <w:pPr>
              <w:spacing w:after="40"/>
              <w:jc w:val="left"/>
            </w:pPr>
            <w:r>
              <w:rPr>
                <w:sz w:val="16"/>
              </w:rPr>
              <w:t>Michael</w:t>
            </w:r>
          </w:p>
        </w:tc>
        <w:tc>
          <w:tcPr>
            <w:tcW w:type="dxa" w:w="2296"/>
          </w:tcPr>
          <w:p>
            <w:pPr>
              <w:spacing w:after="40"/>
              <w:jc w:val="left"/>
            </w:pPr>
            <w:r>
              <w:rPr>
                <w:sz w:val="16"/>
              </w:rPr>
              <w:t>Pruebas</w:t>
            </w:r>
          </w:p>
        </w:tc>
        <w:tc>
          <w:tcPr>
            <w:tcW w:type="dxa" w:w="2296"/>
          </w:tcPr>
          <w:p>
            <w:pPr>
              <w:spacing w:after="40"/>
              <w:jc w:val="left"/>
            </w:pPr>
          </w:p>
        </w:tc>
      </w:tr>
      <w:tr>
        <w:trPr>
          <w:cantSplit w:val="true"/>
        </w:trPr>
        <w:tc>
          <w:tcPr>
            <w:tcW w:type="dxa" w:w="2296"/>
          </w:tcPr>
          <w:p>
            <w:pPr>
              <w:spacing w:after="40"/>
              <w:jc w:val="left"/>
            </w:pPr>
            <w:r>
              <w:rPr>
                <w:sz w:val="16"/>
              </w:rPr>
              <w:t>Revisión de los pull requests</w:t>
            </w:r>
          </w:p>
        </w:tc>
        <w:tc>
          <w:tcPr>
            <w:tcW w:type="dxa" w:w="2296"/>
          </w:tcPr>
          <w:p>
            <w:pPr>
              <w:spacing w:after="40"/>
              <w:jc w:val="left"/>
            </w:pPr>
            <w:r>
              <w:rPr>
                <w:sz w:val="16"/>
              </w:rPr>
              <w:t>Michael</w:t>
            </w:r>
          </w:p>
        </w:tc>
        <w:tc>
          <w:tcPr>
            <w:tcW w:type="dxa" w:w="2296"/>
          </w:tcPr>
          <w:p>
            <w:pPr>
              <w:spacing w:after="40"/>
              <w:jc w:val="left"/>
            </w:pPr>
            <w:r>
              <w:rPr>
                <w:sz w:val="16"/>
              </w:rPr>
              <w:t>Revisión de calidad</w:t>
            </w:r>
          </w:p>
        </w:tc>
        <w:tc>
          <w:tcPr>
            <w:tcW w:type="dxa" w:w="2296"/>
          </w:tcPr>
          <w:p>
            <w:pPr>
              <w:spacing w:after="40"/>
              <w:jc w:val="left"/>
            </w:pPr>
            <w:r>
              <w:rPr>
                <w:sz w:val="16"/>
              </w:rPr>
              <w:t>Todos revisan al menos uno</w:t>
            </w:r>
          </w:p>
        </w:tc>
      </w:tr>
      <w:tr>
        <w:trPr>
          <w:cantSplit w:val="true"/>
        </w:trPr>
        <w:tc>
          <w:tcPr>
            <w:tcW w:type="dxa" w:w="2296"/>
          </w:tcPr>
          <w:p>
            <w:pPr>
              <w:spacing w:after="40"/>
              <w:jc w:val="left"/>
            </w:pPr>
            <w:r>
              <w:rPr>
                <w:sz w:val="16"/>
              </w:rPr>
              <w:t>Servidor de pruebas, contenedores y runbook (</w:t>
            </w:r>
            <w:r>
              <w:rPr>
                <w:sz w:val="16"/>
              </w:rPr>
              <w:t>#26</w:t>
            </w:r>
            <w:r>
              <w:rPr>
                <w:sz w:val="16"/>
              </w:rPr>
              <w:t>)</w:t>
            </w:r>
          </w:p>
        </w:tc>
        <w:tc>
          <w:tcPr>
            <w:tcW w:type="dxa" w:w="2296"/>
          </w:tcPr>
          <w:p>
            <w:pPr>
              <w:spacing w:after="40"/>
              <w:jc w:val="left"/>
            </w:pPr>
            <w:r>
              <w:rPr>
                <w:sz w:val="16"/>
              </w:rPr>
              <w:t>Michael</w:t>
            </w:r>
          </w:p>
        </w:tc>
        <w:tc>
          <w:tcPr>
            <w:tcW w:type="dxa" w:w="2296"/>
          </w:tcPr>
          <w:p>
            <w:pPr>
              <w:spacing w:after="40"/>
              <w:jc w:val="left"/>
            </w:pPr>
            <w:r>
              <w:rPr>
                <w:sz w:val="16"/>
              </w:rPr>
              <w:t>Despliegue</w:t>
            </w:r>
          </w:p>
        </w:tc>
        <w:tc>
          <w:tcPr>
            <w:tcW w:type="dxa" w:w="2296"/>
          </w:tcPr>
          <w:p>
            <w:pPr>
              <w:spacing w:after="40"/>
              <w:jc w:val="left"/>
            </w:pPr>
            <w:r>
              <w:rPr>
                <w:sz w:val="16"/>
              </w:rPr>
              <w:t>Joseph, decisión de proveedor y dominio</w:t>
            </w:r>
          </w:p>
        </w:tc>
      </w:tr>
      <w:tr>
        <w:trPr>
          <w:cantSplit w:val="true"/>
        </w:trPr>
        <w:tc>
          <w:tcPr>
            <w:tcW w:type="dxa" w:w="2296"/>
          </w:tcPr>
          <w:p>
            <w:pPr>
              <w:spacing w:after="40"/>
              <w:jc w:val="left"/>
            </w:pPr>
            <w:r>
              <w:rPr>
                <w:sz w:val="16"/>
              </w:rPr>
              <w:t>Planning, seguimientos semanales, tablero y cierre del sprint (</w:t>
            </w:r>
            <w:r>
              <w:rPr>
                <w:sz w:val="16"/>
              </w:rPr>
              <w:t>#47</w:t>
            </w:r>
            <w:r>
              <w:rPr>
                <w:sz w:val="16"/>
              </w:rPr>
              <w:t>)</w:t>
            </w:r>
          </w:p>
        </w:tc>
        <w:tc>
          <w:tcPr>
            <w:tcW w:type="dxa" w:w="2296"/>
          </w:tcPr>
          <w:p>
            <w:pPr>
              <w:spacing w:after="40"/>
              <w:jc w:val="left"/>
            </w:pPr>
            <w:r>
              <w:rPr>
                <w:sz w:val="16"/>
              </w:rPr>
              <w:t>Alejandra</w:t>
            </w:r>
          </w:p>
        </w:tc>
        <w:tc>
          <w:tcPr>
            <w:tcW w:type="dxa" w:w="2296"/>
          </w:tcPr>
          <w:p>
            <w:pPr>
              <w:spacing w:after="40"/>
              <w:jc w:val="left"/>
            </w:pPr>
            <w:r>
              <w:rPr>
                <w:sz w:val="16"/>
              </w:rPr>
              <w:t>Coordinación de Sprint</w:t>
            </w:r>
          </w:p>
        </w:tc>
        <w:tc>
          <w:tcPr>
            <w:tcW w:type="dxa" w:w="2296"/>
          </w:tcPr>
          <w:p>
            <w:pPr>
              <w:spacing w:after="40"/>
              <w:jc w:val="left"/>
            </w:pPr>
          </w:p>
        </w:tc>
      </w:tr>
      <w:tr>
        <w:trPr>
          <w:cantSplit w:val="true"/>
        </w:trPr>
        <w:tc>
          <w:tcPr>
            <w:tcW w:type="dxa" w:w="2296"/>
          </w:tcPr>
          <w:p>
            <w:pPr>
              <w:spacing w:after="40"/>
              <w:jc w:val="left"/>
            </w:pPr>
            <w:r>
              <w:rPr>
                <w:sz w:val="16"/>
              </w:rPr>
              <w:t>Registro del sprint, «Cambios al construir», pendientes, ADR nuevos y Word del avance</w:t>
            </w:r>
          </w:p>
        </w:tc>
        <w:tc>
          <w:tcPr>
            <w:tcW w:type="dxa" w:w="2296"/>
          </w:tcPr>
          <w:p>
            <w:pPr>
              <w:spacing w:after="40"/>
              <w:jc w:val="left"/>
            </w:pPr>
            <w:r>
              <w:rPr>
                <w:sz w:val="16"/>
              </w:rPr>
              <w:t>Alejandra</w:t>
            </w:r>
          </w:p>
        </w:tc>
        <w:tc>
          <w:tcPr>
            <w:tcW w:type="dxa" w:w="2296"/>
          </w:tcPr>
          <w:p>
            <w:pPr>
              <w:spacing w:after="40"/>
              <w:jc w:val="left"/>
            </w:pPr>
            <w:r>
              <w:rPr>
                <w:sz w:val="16"/>
              </w:rPr>
              <w:t>Documentación</w:t>
            </w:r>
          </w:p>
        </w:tc>
        <w:tc>
          <w:tcPr>
            <w:tcW w:type="dxa" w:w="2296"/>
          </w:tcPr>
          <w:p>
            <w:pPr>
              <w:spacing w:after="40"/>
              <w:jc w:val="left"/>
            </w:pPr>
            <w:r>
              <w:rPr>
                <w:sz w:val="16"/>
              </w:rPr>
              <w:t>Joseph genera el Word</w:t>
            </w:r>
          </w:p>
        </w:tc>
      </w:tr>
    </w:tbl>
    <w:p>
      <w:pPr>
        <w:spacing w:after="40"/>
      </w:pPr>
    </w:p>
    <w:p>
      <w:r>
        <w:t>Los roles no rotan en el Sprint 2: el equipo decidió el 2026-10-07 seguir con los del Sprint 0 (</w:t>
      </w:r>
      <w:r>
        <w:t>P-048</w:t>
      </w:r>
      <w:r>
        <w:t>).</w:t>
      </w:r>
    </w:p>
    <w:p>
      <w:pPr>
        <w:keepNext/>
        <w:spacing w:after="40"/>
        <w:jc w:val="center"/>
      </w:pPr>
      <w:r>
        <w:drawing>
          <wp:inline xmlns:a="http://schemas.openxmlformats.org/drawingml/2006/main" xmlns:pic="http://schemas.openxmlformats.org/drawingml/2006/picture">
            <wp:extent cx="5831840" cy="2700559"/>
            <wp:docPr id="25" name="Picture 25"/>
            <wp:cNvGraphicFramePr>
              <a:graphicFrameLocks noChangeAspect="1"/>
            </wp:cNvGraphicFramePr>
            <a:graphic>
              <a:graphicData uri="http://schemas.openxmlformats.org/drawingml/2006/picture">
                <pic:pic>
                  <pic:nvPicPr>
                    <pic:cNvPr id="0" name="tablero.png"/>
                    <pic:cNvPicPr/>
                  </pic:nvPicPr>
                  <pic:blipFill>
                    <a:blip r:embed="rId51"/>
                    <a:stretch>
                      <a:fillRect/>
                    </a:stretch>
                  </pic:blipFill>
                  <pic:spPr>
                    <a:xfrm>
                      <a:off x="0" y="0"/>
                      <a:ext cx="5831840" cy="2700559"/>
                    </a:xfrm>
                    <a:prstGeom prst="rect"/>
                  </pic:spPr>
                </pic:pic>
              </a:graphicData>
            </a:graphic>
          </wp:inline>
        </w:drawing>
      </w:r>
    </w:p>
    <w:p>
      <w:pPr>
        <w:jc w:val="center"/>
      </w:pPr>
      <w:r>
        <w:rPr>
          <w:b/>
          <w:color w:val="57534E"/>
          <w:sz w:val="18"/>
        </w:rPr>
        <w:t xml:space="preserve">Figura 25. </w:t>
      </w:r>
      <w:r>
        <w:rPr>
          <w:color w:val="57534E"/>
          <w:sz w:val="18"/>
        </w:rPr>
        <w:t>Tablero del Project con las historias seleccionadas para el Sprint 2.</w:t>
      </w:r>
    </w:p>
    <w:p>
      <w:pPr>
        <w:pStyle w:val="Ttulo2"/>
      </w:pPr>
      <w:r>
        <w:t>3b. Seguimiento del equipo (Daily Scrum)</w:t>
      </w:r>
    </w:p>
    <w:p>
      <w:r>
        <w:t>Seguimiento del domingo 18 de octubre, desde el seguimiento del Sprint 1 del 9 de octubre. Solo quedó registrado el avance de Joseph.</w:t>
      </w:r>
    </w:p>
    <w:tbl>
      <w:tblPr>
        <w:tblStyle w:val="Tablaconcuadrcula"/>
        <w:tblW w:type="auto" w:w="0"/>
        <w:jc w:val="center"/>
        <w:tblLook w:firstColumn="1" w:firstRow="1" w:lastColumn="0" w:lastRow="0" w:noHBand="0" w:noVBand="1" w:val="04A0"/>
      </w:tblPr>
      <w:tblGrid>
        <w:gridCol w:w="2296"/>
        <w:gridCol w:w="2296"/>
        <w:gridCol w:w="2296"/>
        <w:gridCol w:w="2296"/>
      </w:tblGrid>
      <w:tr>
        <w:trPr>
          <w:cantSplit w:val="true"/>
          <w:tblHeader w:val="true"/>
        </w:trPr>
        <w:tc>
          <w:tcPr>
            <w:tcW w:type="dxa" w:w="1361"/>
            <w:shd w:val="clear" w:color="auto" w:fill="0F6E6E"/>
          </w:tcPr>
          <w:p>
            <w:pPr>
              <w:spacing w:after="40"/>
              <w:jc w:val="left"/>
            </w:pPr>
            <w:r>
              <w:rPr>
                <w:b/>
                <w:color w:val="FFFFFF"/>
                <w:sz w:val="16"/>
              </w:rPr>
              <w:t>Integrante</w:t>
            </w:r>
          </w:p>
        </w:tc>
        <w:tc>
          <w:tcPr>
            <w:tcW w:type="dxa" w:w="3129"/>
            <w:shd w:val="clear" w:color="auto" w:fill="0F6E6E"/>
          </w:tcPr>
          <w:p>
            <w:pPr>
              <w:spacing w:after="40"/>
              <w:jc w:val="left"/>
            </w:pPr>
            <w:r>
              <w:rPr>
                <w:b/>
                <w:color w:val="FFFFFF"/>
                <w:sz w:val="16"/>
              </w:rPr>
              <w:t>¿Qué terminé desde el último seguimiento?</w:t>
            </w:r>
          </w:p>
        </w:tc>
        <w:tc>
          <w:tcPr>
            <w:tcW w:type="dxa" w:w="2738"/>
            <w:shd w:val="clear" w:color="auto" w:fill="0F6E6E"/>
          </w:tcPr>
          <w:p>
            <w:pPr>
              <w:spacing w:after="40"/>
              <w:jc w:val="left"/>
            </w:pPr>
            <w:r>
              <w:rPr>
                <w:b/>
                <w:color w:val="FFFFFF"/>
                <w:sz w:val="16"/>
              </w:rPr>
              <w:t>¿Qué haré a continuación?</w:t>
            </w:r>
          </w:p>
        </w:tc>
        <w:tc>
          <w:tcPr>
            <w:tcW w:type="dxa" w:w="1956"/>
            <w:shd w:val="clear" w:color="auto" w:fill="0F6E6E"/>
          </w:tcPr>
          <w:p>
            <w:pPr>
              <w:spacing w:after="40"/>
              <w:jc w:val="left"/>
            </w:pPr>
            <w:r>
              <w:rPr>
                <w:b/>
                <w:color w:val="FFFFFF"/>
                <w:sz w:val="16"/>
              </w:rPr>
              <w:t>¿Qué bloqueo o ayuda necesito?</w:t>
            </w:r>
          </w:p>
        </w:tc>
      </w:tr>
      <w:tr>
        <w:trPr>
          <w:cantSplit w:val="true"/>
        </w:trPr>
        <w:tc>
          <w:tcPr>
            <w:tcW w:type="dxa" w:w="1361"/>
          </w:tcPr>
          <w:p>
            <w:pPr>
              <w:spacing w:after="40"/>
              <w:jc w:val="left"/>
            </w:pPr>
            <w:r>
              <w:rPr>
                <w:sz w:val="16"/>
              </w:rPr>
              <w:t>Joseph</w:t>
            </w:r>
          </w:p>
        </w:tc>
        <w:tc>
          <w:tcPr>
            <w:tcW w:type="dxa" w:w="3129"/>
          </w:tcPr>
          <w:p>
            <w:pPr>
              <w:spacing w:after="40"/>
              <w:jc w:val="left"/>
            </w:pPr>
            <w:r>
              <w:rPr>
                <w:sz w:val="16"/>
              </w:rPr>
              <w:t>La interfaz del motor en sus tres ciclos y «Mi zona» (Bloque 4 cerrado); el servidor de pruebas en Dokploy con la demo; la pieza C, con la verificación de entidades y las causas (HU-02 y HU-15); el Bloque 5 de turnos, que no estaba en el Planning (HU-03); la revisión de cada bloque contra sus criterios en el servidor</w:t>
            </w:r>
          </w:p>
        </w:tc>
        <w:tc>
          <w:tcPr>
            <w:tcW w:type="dxa" w:w="2738"/>
          </w:tcPr>
          <w:p>
            <w:pPr>
              <w:spacing w:after="40"/>
              <w:jc w:val="left"/>
            </w:pPr>
            <w:r>
              <w:rPr>
                <w:sz w:val="16"/>
              </w:rPr>
              <w:t>El Word del Avance 5 y la sustentación del 23; la ronda de pruebas del equipo en el servidor (#58); la pieza E, el importador de RedAcopio (#49)</w:t>
            </w:r>
          </w:p>
        </w:tc>
        <w:tc>
          <w:tcPr>
            <w:tcW w:type="dxa" w:w="1956"/>
          </w:tcPr>
          <w:p>
            <w:pPr>
              <w:spacing w:after="40"/>
              <w:jc w:val="left"/>
            </w:pPr>
            <w:r>
              <w:rPr>
                <w:sz w:val="16"/>
              </w:rPr>
              <w:t>Que el resto del equipo haga la ronda de pruebas por rol y revise pull requests</w:t>
            </w:r>
          </w:p>
        </w:tc>
      </w:tr>
      <w:tr>
        <w:trPr>
          <w:cantSplit w:val="true"/>
        </w:trPr>
        <w:tc>
          <w:tcPr>
            <w:tcW w:type="dxa" w:w="1361"/>
          </w:tcPr>
          <w:p>
            <w:pPr>
              <w:spacing w:after="40"/>
              <w:jc w:val="left"/>
            </w:pPr>
            <w:r>
              <w:rPr>
                <w:sz w:val="16"/>
              </w:rPr>
              <w:t>Brayan</w:t>
            </w:r>
          </w:p>
        </w:tc>
        <w:tc>
          <w:tcPr>
            <w:tcW w:type="dxa" w:w="3129"/>
          </w:tcPr>
          <w:p>
            <w:pPr>
              <w:spacing w:after="40"/>
              <w:jc w:val="left"/>
            </w:pPr>
            <w:r>
              <w:rPr>
                <w:sz w:val="16"/>
              </w:rPr>
              <w:t>Sin registro en este seguimiento</w:t>
            </w:r>
          </w:p>
        </w:tc>
        <w:tc>
          <w:tcPr>
            <w:tcW w:type="dxa" w:w="2738"/>
          </w:tcPr>
          <w:p>
            <w:pPr>
              <w:spacing w:after="40"/>
              <w:jc w:val="left"/>
            </w:pPr>
          </w:p>
        </w:tc>
        <w:tc>
          <w:tcPr>
            <w:tcW w:type="dxa" w:w="1956"/>
          </w:tcPr>
          <w:p>
            <w:pPr>
              <w:spacing w:after="40"/>
              <w:jc w:val="left"/>
            </w:pPr>
          </w:p>
        </w:tc>
      </w:tr>
      <w:tr>
        <w:trPr>
          <w:cantSplit w:val="true"/>
        </w:trPr>
        <w:tc>
          <w:tcPr>
            <w:tcW w:type="dxa" w:w="1361"/>
          </w:tcPr>
          <w:p>
            <w:pPr>
              <w:spacing w:after="40"/>
              <w:jc w:val="left"/>
            </w:pPr>
            <w:r>
              <w:rPr>
                <w:sz w:val="16"/>
              </w:rPr>
              <w:t>Alejandra</w:t>
            </w:r>
          </w:p>
        </w:tc>
        <w:tc>
          <w:tcPr>
            <w:tcW w:type="dxa" w:w="3129"/>
          </w:tcPr>
          <w:p>
            <w:pPr>
              <w:spacing w:after="40"/>
              <w:jc w:val="left"/>
            </w:pPr>
            <w:r>
              <w:rPr>
                <w:sz w:val="16"/>
              </w:rPr>
              <w:t>Sin registro en este seguimiento</w:t>
            </w:r>
          </w:p>
        </w:tc>
        <w:tc>
          <w:tcPr>
            <w:tcW w:type="dxa" w:w="2738"/>
          </w:tcPr>
          <w:p>
            <w:pPr>
              <w:spacing w:after="40"/>
              <w:jc w:val="left"/>
            </w:pPr>
          </w:p>
        </w:tc>
        <w:tc>
          <w:tcPr>
            <w:tcW w:type="dxa" w:w="1956"/>
          </w:tcPr>
          <w:p>
            <w:pPr>
              <w:spacing w:after="40"/>
              <w:jc w:val="left"/>
            </w:pPr>
          </w:p>
        </w:tc>
      </w:tr>
      <w:tr>
        <w:trPr>
          <w:cantSplit w:val="true"/>
        </w:trPr>
        <w:tc>
          <w:tcPr>
            <w:tcW w:type="dxa" w:w="1361"/>
          </w:tcPr>
          <w:p>
            <w:pPr>
              <w:spacing w:after="40"/>
              <w:jc w:val="left"/>
            </w:pPr>
            <w:r>
              <w:rPr>
                <w:sz w:val="16"/>
              </w:rPr>
              <w:t>Michael</w:t>
            </w:r>
          </w:p>
        </w:tc>
        <w:tc>
          <w:tcPr>
            <w:tcW w:type="dxa" w:w="3129"/>
          </w:tcPr>
          <w:p>
            <w:pPr>
              <w:spacing w:after="40"/>
              <w:jc w:val="left"/>
            </w:pPr>
            <w:r>
              <w:rPr>
                <w:sz w:val="16"/>
              </w:rPr>
              <w:t>Sin registro en este seguimiento</w:t>
            </w:r>
          </w:p>
        </w:tc>
        <w:tc>
          <w:tcPr>
            <w:tcW w:type="dxa" w:w="2738"/>
          </w:tcPr>
          <w:p>
            <w:pPr>
              <w:spacing w:after="40"/>
              <w:jc w:val="left"/>
            </w:pPr>
          </w:p>
        </w:tc>
        <w:tc>
          <w:tcPr>
            <w:tcW w:type="dxa" w:w="1956"/>
          </w:tcPr>
          <w:p>
            <w:pPr>
              <w:spacing w:after="40"/>
              <w:jc w:val="left"/>
            </w:pPr>
          </w:p>
        </w:tc>
      </w:tr>
    </w:tbl>
    <w:p>
      <w:pPr>
        <w:spacing w:after="40"/>
      </w:pPr>
    </w:p>
    <w:p>
      <w:pPr>
        <w:keepNext/>
        <w:spacing w:after="40"/>
        <w:jc w:val="center"/>
      </w:pPr>
      <w:r>
        <w:drawing>
          <wp:inline xmlns:a="http://schemas.openxmlformats.org/drawingml/2006/main" xmlns:pic="http://schemas.openxmlformats.org/drawingml/2006/picture">
            <wp:extent cx="5831840" cy="2714233"/>
            <wp:docPr id="26" name="Picture 26"/>
            <wp:cNvGraphicFramePr>
              <a:graphicFrameLocks noChangeAspect="1"/>
            </wp:cNvGraphicFramePr>
            <a:graphic>
              <a:graphicData uri="http://schemas.openxmlformats.org/drawingml/2006/picture">
                <pic:pic>
                  <pic:nvPicPr>
                    <pic:cNvPr id="0" name="seguimiento.png"/>
                    <pic:cNvPicPr/>
                  </pic:nvPicPr>
                  <pic:blipFill>
                    <a:blip r:embed="rId52"/>
                    <a:stretch>
                      <a:fillRect/>
                    </a:stretch>
                  </pic:blipFill>
                  <pic:spPr>
                    <a:xfrm>
                      <a:off x="0" y="0"/>
                      <a:ext cx="5831840" cy="2714233"/>
                    </a:xfrm>
                    <a:prstGeom prst="rect"/>
                  </pic:spPr>
                </pic:pic>
              </a:graphicData>
            </a:graphic>
          </wp:inline>
        </w:drawing>
      </w:r>
    </w:p>
    <w:p>
      <w:pPr>
        <w:jc w:val="center"/>
      </w:pPr>
      <w:r>
        <w:rPr>
          <w:b/>
          <w:color w:val="57534E"/>
          <w:sz w:val="18"/>
        </w:rPr>
        <w:t xml:space="preserve">Figura 26. </w:t>
      </w:r>
      <w:r>
        <w:rPr>
          <w:color w:val="57534E"/>
          <w:sz w:val="18"/>
        </w:rPr>
        <w:t>Seguimiento del Sprint 2.</w:t>
      </w:r>
    </w:p>
    <w:p>
      <w:pPr>
        <w:pStyle w:val="Ttulo2"/>
      </w:pPr>
      <w:r>
        <w:t>3c. Sprint Review y retrospectiva</w:t>
      </w:r>
    </w:p>
    <w:p>
      <w:r>
        <w:t>La revisión se hace en la validación de clase del viernes 23 de octubre, sobre el servidor de pruebas. La evidencia son las capturas de la §1, los contenedores en ejecución y los recorridos de punta a punta con Playwright, que recorren cada flujo en un navegador real y comprueban el efecto en la API.</w:t>
      </w:r>
    </w:p>
    <w:tbl>
      <w:tblPr>
        <w:tblStyle w:val="Tablaconcuadrcula"/>
        <w:tblW w:type="auto" w:w="0"/>
        <w:jc w:val="center"/>
        <w:tblLook w:firstColumn="1" w:firstRow="1" w:lastColumn="0" w:lastRow="0" w:noHBand="0" w:noVBand="1" w:val="04A0"/>
      </w:tblPr>
      <w:tblGrid>
        <w:gridCol w:w="3061"/>
        <w:gridCol w:w="3061"/>
        <w:gridCol w:w="3061"/>
      </w:tblGrid>
      <w:tr>
        <w:trPr>
          <w:cantSplit w:val="true"/>
          <w:tblHeader w:val="true"/>
        </w:trPr>
        <w:tc>
          <w:tcPr>
            <w:tcW w:type="dxa" w:w="3061"/>
            <w:shd w:val="clear" w:color="auto" w:fill="0F6E6E"/>
          </w:tcPr>
          <w:p>
            <w:pPr>
              <w:spacing w:after="40"/>
              <w:jc w:val="left"/>
            </w:pPr>
            <w:r>
              <w:rPr>
                <w:b/>
                <w:color w:val="FFFFFF"/>
                <w:sz w:val="16"/>
              </w:rPr>
              <w:t>Recorrido</w:t>
            </w:r>
          </w:p>
        </w:tc>
        <w:tc>
          <w:tcPr>
            <w:tcW w:type="dxa" w:w="3061"/>
            <w:shd w:val="clear" w:color="auto" w:fill="0F6E6E"/>
          </w:tcPr>
          <w:p>
            <w:pPr>
              <w:spacing w:after="40"/>
              <w:jc w:val="left"/>
            </w:pPr>
            <w:r>
              <w:rPr>
                <w:b/>
                <w:color w:val="FFFFFF"/>
                <w:sz w:val="16"/>
              </w:rPr>
              <w:t>Qué comprueba</w:t>
            </w:r>
          </w:p>
        </w:tc>
        <w:tc>
          <w:tcPr>
            <w:tcW w:type="dxa" w:w="3061"/>
            <w:shd w:val="clear" w:color="auto" w:fill="0F6E6E"/>
          </w:tcPr>
          <w:p>
            <w:pPr>
              <w:spacing w:after="40"/>
              <w:jc w:val="left"/>
            </w:pPr>
            <w:r>
              <w:rPr>
                <w:b/>
                <w:color w:val="FFFFFF"/>
                <w:sz w:val="16"/>
              </w:rPr>
              <w:t>Resultado en el servidor</w:t>
            </w:r>
          </w:p>
        </w:tc>
      </w:tr>
      <w:tr>
        <w:trPr>
          <w:cantSplit w:val="true"/>
        </w:trPr>
        <w:tc>
          <w:tcPr>
            <w:tcW w:type="dxa" w:w="3061"/>
          </w:tcPr>
          <w:p>
            <w:pPr>
              <w:spacing w:after="40"/>
              <w:jc w:val="left"/>
            </w:pPr>
            <w:r>
              <w:rPr>
                <w:rFonts w:ascii="Consolas" w:hAnsi="Consolas"/>
                <w:sz w:val="13"/>
              </w:rPr>
              <w:t>consola-motor.mjs</w:t>
            </w:r>
          </w:p>
        </w:tc>
        <w:tc>
          <w:tcPr>
            <w:tcW w:type="dxa" w:w="3061"/>
          </w:tcPr>
          <w:p>
            <w:pPr>
              <w:spacing w:after="40"/>
              <w:jc w:val="left"/>
            </w:pPr>
            <w:r>
              <w:rPr>
                <w:sz w:val="16"/>
              </w:rPr>
              <w:t>Recalcular, aprobar, descartar y ajustar los pesos del motor</w:t>
            </w:r>
          </w:p>
        </w:tc>
        <w:tc>
          <w:tcPr>
            <w:tcW w:type="dxa" w:w="3061"/>
          </w:tcPr>
          <w:p>
            <w:pPr>
              <w:spacing w:after="40"/>
              <w:jc w:val="left"/>
            </w:pPr>
            <w:r>
              <w:rPr>
                <w:sz w:val="16"/>
              </w:rPr>
              <w:t>9 de 9, el 17 de octubre</w:t>
            </w:r>
          </w:p>
        </w:tc>
      </w:tr>
      <w:tr>
        <w:trPr>
          <w:cantSplit w:val="true"/>
        </w:trPr>
        <w:tc>
          <w:tcPr>
            <w:tcW w:type="dxa" w:w="3061"/>
          </w:tcPr>
          <w:p>
            <w:pPr>
              <w:spacing w:after="40"/>
              <w:jc w:val="left"/>
            </w:pPr>
            <w:r>
              <w:rPr>
                <w:rFonts w:ascii="Consolas" w:hAnsi="Consolas"/>
                <w:sz w:val="13"/>
              </w:rPr>
              <w:t>consola-remisiones.mjs</w:t>
            </w:r>
          </w:p>
        </w:tc>
        <w:tc>
          <w:tcPr>
            <w:tcW w:type="dxa" w:w="3061"/>
          </w:tcPr>
          <w:p>
            <w:pPr>
              <w:spacing w:after="40"/>
              <w:jc w:val="left"/>
            </w:pPr>
            <w:r>
              <w:rPr>
                <w:sz w:val="16"/>
              </w:rPr>
              <w:t>Despachar una remisión y ver su documento</w:t>
            </w:r>
          </w:p>
        </w:tc>
        <w:tc>
          <w:tcPr>
            <w:tcW w:type="dxa" w:w="3061"/>
          </w:tcPr>
          <w:p>
            <w:pPr>
              <w:spacing w:after="40"/>
              <w:jc w:val="left"/>
            </w:pPr>
            <w:r>
              <w:rPr>
                <w:sz w:val="16"/>
              </w:rPr>
              <w:t>7 de 7, el 17 de octubre</w:t>
            </w:r>
          </w:p>
        </w:tc>
      </w:tr>
      <w:tr>
        <w:trPr>
          <w:cantSplit w:val="true"/>
        </w:trPr>
        <w:tc>
          <w:tcPr>
            <w:tcW w:type="dxa" w:w="3061"/>
          </w:tcPr>
          <w:p>
            <w:pPr>
              <w:spacing w:after="40"/>
              <w:jc w:val="left"/>
            </w:pPr>
            <w:r>
              <w:rPr>
                <w:rFonts w:ascii="Consolas" w:hAnsi="Consolas"/>
                <w:sz w:val="13"/>
              </w:rPr>
              <w:t>consola-recepciones.mjs</w:t>
            </w:r>
          </w:p>
        </w:tc>
        <w:tc>
          <w:tcPr>
            <w:tcW w:type="dxa" w:w="3061"/>
          </w:tcPr>
          <w:p>
            <w:pPr>
              <w:spacing w:after="40"/>
              <w:jc w:val="left"/>
            </w:pPr>
            <w:r>
              <w:rPr>
                <w:sz w:val="16"/>
              </w:rPr>
              <w:t>Recibir una remisión en la zona con foto, entrando por «Mi zona»</w:t>
            </w:r>
          </w:p>
        </w:tc>
        <w:tc>
          <w:tcPr>
            <w:tcW w:type="dxa" w:w="3061"/>
          </w:tcPr>
          <w:p>
            <w:pPr>
              <w:spacing w:after="40"/>
              <w:jc w:val="left"/>
            </w:pPr>
            <w:r>
              <w:rPr>
                <w:sz w:val="16"/>
              </w:rPr>
              <w:t>7 de 7, el 17 de octubre</w:t>
            </w:r>
          </w:p>
        </w:tc>
      </w:tr>
      <w:tr>
        <w:trPr>
          <w:cantSplit w:val="true"/>
        </w:trPr>
        <w:tc>
          <w:tcPr>
            <w:tcW w:type="dxa" w:w="3061"/>
          </w:tcPr>
          <w:p>
            <w:pPr>
              <w:spacing w:after="40"/>
              <w:jc w:val="left"/>
            </w:pPr>
            <w:r>
              <w:rPr>
                <w:rFonts w:ascii="Consolas" w:hAnsi="Consolas"/>
                <w:sz w:val="13"/>
              </w:rPr>
              <w:t>portal-causas.mjs</w:t>
            </w:r>
          </w:p>
        </w:tc>
        <w:tc>
          <w:tcPr>
            <w:tcW w:type="dxa" w:w="3061"/>
          </w:tcPr>
          <w:p>
            <w:pPr>
              <w:spacing w:after="40"/>
              <w:jc w:val="left"/>
            </w:pPr>
            <w:r>
              <w:rPr>
                <w:sz w:val="16"/>
              </w:rPr>
              <w:t>Directorio, aviso de salida y causas atendidas</w:t>
            </w:r>
          </w:p>
        </w:tc>
        <w:tc>
          <w:tcPr>
            <w:tcW w:type="dxa" w:w="3061"/>
          </w:tcPr>
          <w:p>
            <w:pPr>
              <w:spacing w:after="40"/>
              <w:jc w:val="left"/>
            </w:pPr>
            <w:r>
              <w:rPr>
                <w:sz w:val="16"/>
              </w:rPr>
              <w:t>4 de 4, el 18 de octubre</w:t>
            </w:r>
          </w:p>
        </w:tc>
      </w:tr>
      <w:tr>
        <w:trPr>
          <w:cantSplit w:val="true"/>
        </w:trPr>
        <w:tc>
          <w:tcPr>
            <w:tcW w:type="dxa" w:w="3061"/>
          </w:tcPr>
          <w:p>
            <w:pPr>
              <w:spacing w:after="40"/>
              <w:jc w:val="left"/>
            </w:pPr>
            <w:r>
              <w:rPr>
                <w:rFonts w:ascii="Consolas" w:hAnsi="Consolas"/>
                <w:sz w:val="13"/>
              </w:rPr>
              <w:t>consola-causas.mjs</w:t>
            </w:r>
          </w:p>
        </w:tc>
        <w:tc>
          <w:tcPr>
            <w:tcW w:type="dxa" w:w="3061"/>
          </w:tcPr>
          <w:p>
            <w:pPr>
              <w:spacing w:after="40"/>
              <w:jc w:val="left"/>
            </w:pPr>
            <w:r>
              <w:rPr>
                <w:sz w:val="16"/>
              </w:rPr>
              <w:t>Verificar una entidad, publicar, renovar, archivar y quitar la verificación</w:t>
            </w:r>
          </w:p>
        </w:tc>
        <w:tc>
          <w:tcPr>
            <w:tcW w:type="dxa" w:w="3061"/>
          </w:tcPr>
          <w:p>
            <w:pPr>
              <w:spacing w:after="40"/>
              <w:jc w:val="left"/>
            </w:pPr>
            <w:r>
              <w:rPr>
                <w:sz w:val="16"/>
              </w:rPr>
              <w:t>6 de 6, el 18 de octubre</w:t>
            </w:r>
          </w:p>
        </w:tc>
      </w:tr>
    </w:tbl>
    <w:p>
      <w:pPr>
        <w:spacing w:after="40"/>
      </w:pPr>
    </w:p>
    <w:p>
      <w:r>
        <w:t xml:space="preserve">El detalle de cada corrida está en </w:t>
      </w:r>
      <w:r>
        <w:rPr>
          <w:rFonts w:ascii="Consolas" w:hAnsi="Consolas"/>
          <w:sz w:val="19"/>
        </w:rPr>
        <w:t>docs/06-operacion/recorridos.md</w:t>
      </w:r>
      <w:r>
        <w:t>.</w:t>
      </w:r>
    </w:p>
    <w:tbl>
      <w:tblPr>
        <w:tblStyle w:val="Tablaconcuadrcula"/>
        <w:tblW w:type="auto" w:w="0"/>
        <w:jc w:val="center"/>
        <w:tblLook w:firstColumn="1" w:firstRow="1" w:lastColumn="0" w:lastRow="0" w:noHBand="0" w:noVBand="1" w:val="04A0"/>
      </w:tblPr>
      <w:tblGrid>
        <w:gridCol w:w="3061"/>
        <w:gridCol w:w="3061"/>
        <w:gridCol w:w="3061"/>
      </w:tblGrid>
      <w:tr>
        <w:trPr>
          <w:cantSplit w:val="true"/>
          <w:tblHeader w:val="true"/>
        </w:trPr>
        <w:tc>
          <w:tcPr>
            <w:tcW w:type="dxa" w:w="2381"/>
            <w:shd w:val="clear" w:color="auto" w:fill="0F6E6E"/>
          </w:tcPr>
          <w:p>
            <w:pPr>
              <w:spacing w:after="40"/>
              <w:jc w:val="left"/>
            </w:pPr>
            <w:r>
              <w:rPr>
                <w:b/>
                <w:color w:val="FFFFFF"/>
                <w:sz w:val="16"/>
              </w:rPr>
              <w:t>Historia</w:t>
            </w:r>
          </w:p>
        </w:tc>
        <w:tc>
          <w:tcPr>
            <w:tcW w:type="dxa" w:w="1361"/>
            <w:shd w:val="clear" w:color="auto" w:fill="0F6E6E"/>
          </w:tcPr>
          <w:p>
            <w:pPr>
              <w:spacing w:after="40"/>
              <w:jc w:val="left"/>
            </w:pPr>
            <w:r>
              <w:rPr>
                <w:b/>
                <w:color w:val="FFFFFF"/>
                <w:sz w:val="16"/>
              </w:rPr>
              <w:t>¿Se cumplió?</w:t>
            </w:r>
          </w:p>
        </w:tc>
        <w:tc>
          <w:tcPr>
            <w:tcW w:type="dxa" w:w="5442"/>
            <w:shd w:val="clear" w:color="auto" w:fill="0F6E6E"/>
          </w:tcPr>
          <w:p>
            <w:pPr>
              <w:spacing w:after="40"/>
              <w:jc w:val="left"/>
            </w:pPr>
            <w:r>
              <w:rPr>
                <w:b/>
                <w:color w:val="FFFFFF"/>
                <w:sz w:val="16"/>
              </w:rPr>
              <w:t>Criterios pendientes, ajustes u observaciones</w:t>
            </w:r>
          </w:p>
        </w:tc>
      </w:tr>
      <w:tr>
        <w:trPr>
          <w:cantSplit w:val="true"/>
        </w:trPr>
        <w:tc>
          <w:tcPr>
            <w:tcW w:type="dxa" w:w="2381"/>
          </w:tcPr>
          <w:p>
            <w:pPr>
              <w:spacing w:after="40"/>
              <w:jc w:val="left"/>
            </w:pPr>
            <w:r>
              <w:rPr>
                <w:sz w:val="16"/>
              </w:rPr>
              <w:t>HU-10a Ver a dónde falta y de dónde sobra</w:t>
            </w:r>
          </w:p>
        </w:tc>
        <w:tc>
          <w:tcPr>
            <w:tcW w:type="dxa" w:w="1361"/>
          </w:tcPr>
          <w:p>
            <w:pPr>
              <w:spacing w:after="40"/>
              <w:jc w:val="left"/>
            </w:pPr>
            <w:r>
              <w:rPr>
                <w:sz w:val="16"/>
              </w:rPr>
              <w:t>Sí</w:t>
            </w:r>
          </w:p>
        </w:tc>
        <w:tc>
          <w:tcPr>
            <w:tcW w:type="dxa" w:w="5442"/>
          </w:tcPr>
          <w:p>
            <w:pPr>
              <w:spacing w:after="40"/>
              <w:jc w:val="left"/>
            </w:pPr>
          </w:p>
        </w:tc>
      </w:tr>
      <w:tr>
        <w:trPr>
          <w:cantSplit w:val="true"/>
        </w:trPr>
        <w:tc>
          <w:tcPr>
            <w:tcW w:type="dxa" w:w="2381"/>
          </w:tcPr>
          <w:p>
            <w:pPr>
              <w:spacing w:after="40"/>
              <w:jc w:val="left"/>
            </w:pPr>
            <w:r>
              <w:rPr>
                <w:sz w:val="16"/>
              </w:rPr>
              <w:t>HU-10b Aprobar o descartar un traslado</w:t>
            </w:r>
          </w:p>
        </w:tc>
        <w:tc>
          <w:tcPr>
            <w:tcW w:type="dxa" w:w="1361"/>
          </w:tcPr>
          <w:p>
            <w:pPr>
              <w:spacing w:after="40"/>
              <w:jc w:val="left"/>
            </w:pPr>
            <w:r>
              <w:rPr>
                <w:sz w:val="16"/>
              </w:rPr>
              <w:t>Sí</w:t>
            </w:r>
          </w:p>
        </w:tc>
        <w:tc>
          <w:tcPr>
            <w:tcW w:type="dxa" w:w="5442"/>
          </w:tcPr>
          <w:p>
            <w:pPr>
              <w:spacing w:after="40"/>
              <w:jc w:val="left"/>
            </w:pPr>
          </w:p>
        </w:tc>
      </w:tr>
      <w:tr>
        <w:trPr>
          <w:cantSplit w:val="true"/>
        </w:trPr>
        <w:tc>
          <w:tcPr>
            <w:tcW w:type="dxa" w:w="2381"/>
          </w:tcPr>
          <w:p>
            <w:pPr>
              <w:spacing w:after="40"/>
              <w:jc w:val="left"/>
            </w:pPr>
            <w:r>
              <w:rPr>
                <w:sz w:val="16"/>
              </w:rPr>
              <w:t>HU-11 Despachar con un documento verificable</w:t>
            </w:r>
          </w:p>
        </w:tc>
        <w:tc>
          <w:tcPr>
            <w:tcW w:type="dxa" w:w="1361"/>
          </w:tcPr>
          <w:p>
            <w:pPr>
              <w:spacing w:after="40"/>
              <w:jc w:val="left"/>
            </w:pPr>
            <w:r>
              <w:rPr>
                <w:sz w:val="16"/>
              </w:rPr>
              <w:t>Sí</w:t>
            </w:r>
          </w:p>
        </w:tc>
        <w:tc>
          <w:tcPr>
            <w:tcW w:type="dxa" w:w="5442"/>
          </w:tcPr>
          <w:p>
            <w:pPr>
              <w:spacing w:after="40"/>
              <w:jc w:val="left"/>
            </w:pPr>
          </w:p>
        </w:tc>
      </w:tr>
      <w:tr>
        <w:trPr>
          <w:cantSplit w:val="true"/>
        </w:trPr>
        <w:tc>
          <w:tcPr>
            <w:tcW w:type="dxa" w:w="2381"/>
          </w:tcPr>
          <w:p>
            <w:pPr>
              <w:spacing w:after="40"/>
              <w:jc w:val="left"/>
            </w:pPr>
            <w:r>
              <w:rPr>
                <w:sz w:val="16"/>
              </w:rPr>
              <w:t>HU-12 Confirmar la llegada sin contar unidad por unidad</w:t>
            </w:r>
          </w:p>
        </w:tc>
        <w:tc>
          <w:tcPr>
            <w:tcW w:type="dxa" w:w="1361"/>
          </w:tcPr>
          <w:p>
            <w:pPr>
              <w:spacing w:after="40"/>
              <w:jc w:val="left"/>
            </w:pPr>
            <w:r>
              <w:rPr>
                <w:sz w:val="16"/>
              </w:rPr>
              <w:t>Sí</w:t>
            </w:r>
          </w:p>
        </w:tc>
        <w:tc>
          <w:tcPr>
            <w:tcW w:type="dxa" w:w="5442"/>
          </w:tcPr>
          <w:p>
            <w:pPr>
              <w:spacing w:after="40"/>
              <w:jc w:val="left"/>
            </w:pPr>
          </w:p>
        </w:tc>
      </w:tr>
      <w:tr>
        <w:trPr>
          <w:cantSplit w:val="true"/>
        </w:trPr>
        <w:tc>
          <w:tcPr>
            <w:tcW w:type="dxa" w:w="2381"/>
          </w:tcPr>
          <w:p>
            <w:pPr>
              <w:spacing w:after="40"/>
              <w:jc w:val="left"/>
            </w:pPr>
            <w:r>
              <w:rPr>
                <w:sz w:val="16"/>
              </w:rPr>
              <w:t>HU-13 Contar lo que la fórmula no ve</w:t>
            </w:r>
          </w:p>
        </w:tc>
        <w:tc>
          <w:tcPr>
            <w:tcW w:type="dxa" w:w="1361"/>
          </w:tcPr>
          <w:p>
            <w:pPr>
              <w:spacing w:after="40"/>
              <w:jc w:val="left"/>
            </w:pPr>
            <w:r>
              <w:rPr>
                <w:sz w:val="16"/>
              </w:rPr>
              <w:t>Sí</w:t>
            </w:r>
          </w:p>
        </w:tc>
        <w:tc>
          <w:tcPr>
            <w:tcW w:type="dxa" w:w="5442"/>
          </w:tcPr>
          <w:p>
            <w:pPr>
              <w:spacing w:after="40"/>
              <w:jc w:val="left"/>
            </w:pPr>
          </w:p>
        </w:tc>
      </w:tr>
      <w:tr>
        <w:trPr>
          <w:cantSplit w:val="true"/>
        </w:trPr>
        <w:tc>
          <w:tcPr>
            <w:tcW w:type="dxa" w:w="2381"/>
          </w:tcPr>
          <w:p>
            <w:pPr>
              <w:spacing w:after="40"/>
              <w:jc w:val="left"/>
            </w:pPr>
            <w:r>
              <w:rPr>
                <w:sz w:val="16"/>
              </w:rPr>
              <w:t>HU-02 Donar a una causa real</w:t>
            </w:r>
          </w:p>
        </w:tc>
        <w:tc>
          <w:tcPr>
            <w:tcW w:type="dxa" w:w="1361"/>
          </w:tcPr>
          <w:p>
            <w:pPr>
              <w:spacing w:after="40"/>
              <w:jc w:val="left"/>
            </w:pPr>
            <w:r>
              <w:rPr>
                <w:sz w:val="16"/>
              </w:rPr>
              <w:t>Sí</w:t>
            </w:r>
          </w:p>
        </w:tc>
        <w:tc>
          <w:tcPr>
            <w:tcW w:type="dxa" w:w="5442"/>
          </w:tcPr>
          <w:p>
            <w:pPr>
              <w:spacing w:after="40"/>
              <w:jc w:val="left"/>
            </w:pPr>
            <w:r>
              <w:rPr>
                <w:sz w:val="16"/>
              </w:rPr>
              <w:t>Revisada en el servidor el 18 de octubre</w:t>
            </w:r>
          </w:p>
        </w:tc>
      </w:tr>
      <w:tr>
        <w:trPr>
          <w:cantSplit w:val="true"/>
        </w:trPr>
        <w:tc>
          <w:tcPr>
            <w:tcW w:type="dxa" w:w="2381"/>
          </w:tcPr>
          <w:p>
            <w:pPr>
              <w:spacing w:after="40"/>
              <w:jc w:val="left"/>
            </w:pPr>
            <w:r>
              <w:rPr>
                <w:sz w:val="16"/>
              </w:rPr>
              <w:t>HU-15 No dirigir donantes a una estafa</w:t>
            </w:r>
          </w:p>
        </w:tc>
        <w:tc>
          <w:tcPr>
            <w:tcW w:type="dxa" w:w="1361"/>
          </w:tcPr>
          <w:p>
            <w:pPr>
              <w:spacing w:after="40"/>
              <w:jc w:val="left"/>
            </w:pPr>
            <w:r>
              <w:rPr>
                <w:sz w:val="16"/>
              </w:rPr>
              <w:t>Sí</w:t>
            </w:r>
          </w:p>
        </w:tc>
        <w:tc>
          <w:tcPr>
            <w:tcW w:type="dxa" w:w="5442"/>
          </w:tcPr>
          <w:p>
            <w:pPr>
              <w:spacing w:after="40"/>
              <w:jc w:val="left"/>
            </w:pPr>
            <w:r>
              <w:rPr>
                <w:sz w:val="16"/>
              </w:rPr>
              <w:t>Revisada en el servidor el 18 de octubre. La revisión diaria que archiva las causas vencidas se comprueba con una prueba de integración</w:t>
            </w:r>
          </w:p>
        </w:tc>
      </w:tr>
    </w:tbl>
    <w:p>
      <w:pPr>
        <w:spacing w:after="40"/>
      </w:pPr>
    </w:p>
    <w:p>
      <w:r>
        <w:t>Fuera del Planning también se construyó el Bloque 5, turnos de voluntariado (HU-03), con sus criterios revisados en el servidor el 18 de octubre.</w:t>
      </w:r>
    </w:p>
    <w:p>
      <w:pPr>
        <w:pStyle w:val="Ttulo3"/>
      </w:pPr>
      <w:r>
        <w:t>Contenedores en ejecución</w:t>
      </w:r>
    </w:p>
    <w:p>
      <w:r>
        <w:t xml:space="preserve">Salida de </w:t>
      </w:r>
      <w:r>
        <w:rPr>
          <w:rFonts w:ascii="Consolas" w:hAnsi="Consolas"/>
          <w:sz w:val="19"/>
        </w:rPr>
        <w:t>docker ps</w:t>
      </w:r>
      <w:r>
        <w:t xml:space="preserve"> en el equipo de desarrollo: los cuatro servicios del Compose en estado «healthy».</w:t>
      </w:r>
    </w:p>
    <w:tbl>
      <w:tblPr>
        <w:tblStyle w:val="Tablaconcuadrcula"/>
        <w:tblW w:type="auto" w:w="0"/>
        <w:jc w:val="center"/>
        <w:tblLook w:firstColumn="1" w:firstRow="1" w:lastColumn="0" w:lastRow="0" w:noHBand="0" w:noVBand="1" w:val="04A0"/>
      </w:tblPr>
      <w:tblGrid>
        <w:gridCol w:w="2296"/>
        <w:gridCol w:w="2296"/>
        <w:gridCol w:w="2296"/>
        <w:gridCol w:w="2296"/>
      </w:tblGrid>
      <w:tr>
        <w:trPr>
          <w:cantSplit w:val="true"/>
          <w:tblHeader w:val="true"/>
        </w:trPr>
        <w:tc>
          <w:tcPr>
            <w:tcW w:type="dxa" w:w="2041"/>
            <w:shd w:val="clear" w:color="auto" w:fill="0F6E6E"/>
          </w:tcPr>
          <w:p>
            <w:pPr>
              <w:spacing w:after="40"/>
              <w:jc w:val="left"/>
            </w:pPr>
            <w:r>
              <w:rPr>
                <w:b/>
                <w:color w:val="FFFFFF"/>
                <w:sz w:val="16"/>
              </w:rPr>
              <w:t>Contenedor</w:t>
            </w:r>
          </w:p>
        </w:tc>
        <w:tc>
          <w:tcPr>
            <w:tcW w:type="dxa" w:w="2381"/>
            <w:shd w:val="clear" w:color="auto" w:fill="0F6E6E"/>
          </w:tcPr>
          <w:p>
            <w:pPr>
              <w:spacing w:after="40"/>
              <w:jc w:val="left"/>
            </w:pPr>
            <w:r>
              <w:rPr>
                <w:b/>
                <w:color w:val="FFFFFF"/>
                <w:sz w:val="16"/>
              </w:rPr>
              <w:t>Imagen</w:t>
            </w:r>
          </w:p>
        </w:tc>
        <w:tc>
          <w:tcPr>
            <w:tcW w:type="dxa" w:w="2268"/>
            <w:shd w:val="clear" w:color="auto" w:fill="0F6E6E"/>
          </w:tcPr>
          <w:p>
            <w:pPr>
              <w:spacing w:after="40"/>
              <w:jc w:val="left"/>
            </w:pPr>
            <w:r>
              <w:rPr>
                <w:b/>
                <w:color w:val="FFFFFF"/>
                <w:sz w:val="16"/>
              </w:rPr>
              <w:t>Estado</w:t>
            </w:r>
          </w:p>
        </w:tc>
        <w:tc>
          <w:tcPr>
            <w:tcW w:type="dxa" w:w="2494"/>
            <w:shd w:val="clear" w:color="auto" w:fill="0F6E6E"/>
          </w:tcPr>
          <w:p>
            <w:pPr>
              <w:spacing w:after="40"/>
              <w:jc w:val="left"/>
            </w:pPr>
            <w:r>
              <w:rPr>
                <w:b/>
                <w:color w:val="FFFFFF"/>
                <w:sz w:val="16"/>
              </w:rPr>
              <w:t>Puerto en el equipo</w:t>
            </w:r>
          </w:p>
        </w:tc>
      </w:tr>
      <w:tr>
        <w:trPr>
          <w:cantSplit w:val="true"/>
        </w:trPr>
        <w:tc>
          <w:tcPr>
            <w:tcW w:type="dxa" w:w="2041"/>
          </w:tcPr>
          <w:p>
            <w:pPr>
              <w:spacing w:after="40"/>
              <w:jc w:val="left"/>
            </w:pPr>
            <w:r>
              <w:rPr>
                <w:sz w:val="16"/>
              </w:rPr>
              <w:t>acopio-api-1</w:t>
            </w:r>
          </w:p>
        </w:tc>
        <w:tc>
          <w:tcPr>
            <w:tcW w:type="dxa" w:w="2381"/>
          </w:tcPr>
          <w:p>
            <w:pPr>
              <w:spacing w:after="40"/>
              <w:jc w:val="left"/>
            </w:pPr>
            <w:r>
              <w:rPr>
                <w:sz w:val="16"/>
              </w:rPr>
              <w:t>acopio-api</w:t>
            </w:r>
          </w:p>
        </w:tc>
        <w:tc>
          <w:tcPr>
            <w:tcW w:type="dxa" w:w="2268"/>
          </w:tcPr>
          <w:p>
            <w:pPr>
              <w:spacing w:after="40"/>
              <w:jc w:val="left"/>
            </w:pPr>
            <w:r>
              <w:rPr>
                <w:sz w:val="16"/>
              </w:rPr>
              <w:t>Up About an hour (healthy)</w:t>
            </w:r>
          </w:p>
        </w:tc>
        <w:tc>
          <w:tcPr>
            <w:tcW w:type="dxa" w:w="2494"/>
          </w:tcPr>
          <w:p>
            <w:pPr>
              <w:spacing w:after="40"/>
              <w:jc w:val="left"/>
            </w:pPr>
            <w:r>
              <w:rPr>
                <w:sz w:val="16"/>
              </w:rPr>
              <w:t>3000 → 3000</w:t>
            </w:r>
          </w:p>
        </w:tc>
      </w:tr>
      <w:tr>
        <w:trPr>
          <w:cantSplit w:val="true"/>
        </w:trPr>
        <w:tc>
          <w:tcPr>
            <w:tcW w:type="dxa" w:w="2041"/>
          </w:tcPr>
          <w:p>
            <w:pPr>
              <w:spacing w:after="40"/>
              <w:jc w:val="left"/>
            </w:pPr>
            <w:r>
              <w:rPr>
                <w:sz w:val="16"/>
              </w:rPr>
              <w:t>acopio-db-1</w:t>
            </w:r>
          </w:p>
        </w:tc>
        <w:tc>
          <w:tcPr>
            <w:tcW w:type="dxa" w:w="2381"/>
          </w:tcPr>
          <w:p>
            <w:pPr>
              <w:spacing w:after="40"/>
              <w:jc w:val="left"/>
            </w:pPr>
            <w:r>
              <w:rPr>
                <w:sz w:val="16"/>
              </w:rPr>
              <w:t>postgres:16-alpine</w:t>
            </w:r>
          </w:p>
        </w:tc>
        <w:tc>
          <w:tcPr>
            <w:tcW w:type="dxa" w:w="2268"/>
          </w:tcPr>
          <w:p>
            <w:pPr>
              <w:spacing w:after="40"/>
              <w:jc w:val="left"/>
            </w:pPr>
            <w:r>
              <w:rPr>
                <w:sz w:val="16"/>
              </w:rPr>
              <w:t>Up 38 hours (healthy)</w:t>
            </w:r>
          </w:p>
        </w:tc>
        <w:tc>
          <w:tcPr>
            <w:tcW w:type="dxa" w:w="2494"/>
          </w:tcPr>
          <w:p>
            <w:pPr>
              <w:spacing w:after="40"/>
              <w:jc w:val="left"/>
            </w:pPr>
            <w:r>
              <w:rPr>
                <w:sz w:val="16"/>
              </w:rPr>
              <w:t>5440 → 5432</w:t>
            </w:r>
          </w:p>
        </w:tc>
      </w:tr>
      <w:tr>
        <w:trPr>
          <w:cantSplit w:val="true"/>
        </w:trPr>
        <w:tc>
          <w:tcPr>
            <w:tcW w:type="dxa" w:w="2041"/>
          </w:tcPr>
          <w:p>
            <w:pPr>
              <w:spacing w:after="40"/>
              <w:jc w:val="left"/>
            </w:pPr>
            <w:r>
              <w:rPr>
                <w:sz w:val="16"/>
              </w:rPr>
              <w:t>acopio-storage-1</w:t>
            </w:r>
          </w:p>
        </w:tc>
        <w:tc>
          <w:tcPr>
            <w:tcW w:type="dxa" w:w="2381"/>
          </w:tcPr>
          <w:p>
            <w:pPr>
              <w:spacing w:after="40"/>
              <w:jc w:val="left"/>
            </w:pPr>
            <w:r>
              <w:rPr>
                <w:sz w:val="16"/>
              </w:rPr>
              <w:t>dxflrs/garage:v2.4.1</w:t>
            </w:r>
          </w:p>
        </w:tc>
        <w:tc>
          <w:tcPr>
            <w:tcW w:type="dxa" w:w="2268"/>
          </w:tcPr>
          <w:p>
            <w:pPr>
              <w:spacing w:after="40"/>
              <w:jc w:val="left"/>
            </w:pPr>
            <w:r>
              <w:rPr>
                <w:sz w:val="16"/>
              </w:rPr>
              <w:t>Up 38 hours (healthy)</w:t>
            </w:r>
          </w:p>
        </w:tc>
        <w:tc>
          <w:tcPr>
            <w:tcW w:type="dxa" w:w="2494"/>
          </w:tcPr>
          <w:p>
            <w:pPr>
              <w:spacing w:after="40"/>
              <w:jc w:val="left"/>
            </w:pPr>
            <w:r>
              <w:rPr>
                <w:sz w:val="16"/>
              </w:rPr>
              <w:t>3900 → 3900</w:t>
            </w:r>
          </w:p>
        </w:tc>
      </w:tr>
      <w:tr>
        <w:trPr>
          <w:cantSplit w:val="true"/>
        </w:trPr>
        <w:tc>
          <w:tcPr>
            <w:tcW w:type="dxa" w:w="2041"/>
          </w:tcPr>
          <w:p>
            <w:pPr>
              <w:spacing w:after="40"/>
              <w:jc w:val="left"/>
            </w:pPr>
            <w:r>
              <w:rPr>
                <w:sz w:val="16"/>
              </w:rPr>
              <w:t>acopio-mailpit-1</w:t>
            </w:r>
          </w:p>
        </w:tc>
        <w:tc>
          <w:tcPr>
            <w:tcW w:type="dxa" w:w="2381"/>
          </w:tcPr>
          <w:p>
            <w:pPr>
              <w:spacing w:after="40"/>
              <w:jc w:val="left"/>
            </w:pPr>
            <w:r>
              <w:rPr>
                <w:sz w:val="16"/>
              </w:rPr>
              <w:t>axllent/mailpit:latest</w:t>
            </w:r>
          </w:p>
        </w:tc>
        <w:tc>
          <w:tcPr>
            <w:tcW w:type="dxa" w:w="2268"/>
          </w:tcPr>
          <w:p>
            <w:pPr>
              <w:spacing w:after="40"/>
              <w:jc w:val="left"/>
            </w:pPr>
            <w:r>
              <w:rPr>
                <w:sz w:val="16"/>
              </w:rPr>
              <w:t>Up 38 hours (healthy)</w:t>
            </w:r>
          </w:p>
        </w:tc>
        <w:tc>
          <w:tcPr>
            <w:tcW w:type="dxa" w:w="2494"/>
          </w:tcPr>
          <w:p>
            <w:pPr>
              <w:spacing w:after="40"/>
              <w:jc w:val="left"/>
            </w:pPr>
            <w:r>
              <w:rPr>
                <w:sz w:val="16"/>
              </w:rPr>
              <w:t>1025 → 1025</w:t>
            </w:r>
          </w:p>
        </w:tc>
      </w:tr>
    </w:tbl>
    <w:p>
      <w:pPr>
        <w:spacing w:after="40"/>
      </w:pPr>
    </w:p>
    <w:p>
      <w:r>
        <w:t xml:space="preserve">Volúmenes donde persisten la base, los archivos y las llaves: </w:t>
      </w:r>
      <w:r>
        <w:rPr>
          <w:rFonts w:ascii="Consolas" w:hAnsi="Consolas"/>
          <w:sz w:val="19"/>
        </w:rPr>
        <w:t>acopio_garagedata</w:t>
      </w:r>
      <w:r>
        <w:t xml:space="preserve">, </w:t>
      </w:r>
      <w:r>
        <w:rPr>
          <w:rFonts w:ascii="Consolas" w:hAnsi="Consolas"/>
          <w:sz w:val="19"/>
        </w:rPr>
        <w:t>acopio_garagemeta</w:t>
      </w:r>
      <w:r>
        <w:t xml:space="preserve">, </w:t>
      </w:r>
      <w:r>
        <w:rPr>
          <w:rFonts w:ascii="Consolas" w:hAnsi="Consolas"/>
          <w:sz w:val="19"/>
        </w:rPr>
        <w:t>acopio_llaves</w:t>
      </w:r>
      <w:r>
        <w:t xml:space="preserve">, </w:t>
      </w:r>
      <w:r>
        <w:rPr>
          <w:rFonts w:ascii="Consolas" w:hAnsi="Consolas"/>
          <w:sz w:val="19"/>
        </w:rPr>
        <w:t>acopio_pgdata</w:t>
      </w:r>
      <w:r>
        <w:t>.</w:t>
      </w:r>
    </w:p>
    <w:p>
      <w:pPr>
        <w:pStyle w:val="Ttulo3"/>
      </w:pPr>
      <w:r>
        <w:t>Retrospectiva</w:t>
      </w:r>
    </w:p>
    <w:p>
      <w:r>
        <w:rPr>
          <w:b/>
        </w:rPr>
        <w:t>¿Qué funcionó bien?</w:t>
      </w:r>
    </w:p>
    <w:p>
      <w:r>
        <w:t>El trabajo con Stitch. Con las maquetas aprobadas se construyen interfaces funcionales, y el flujo que se está usando (maqueta, especificación, plan, pull request y recorrido) es bastante bueno para avanzar y para analizar requerimientos nuevos y extras al aplicativo.</w:t>
      </w:r>
    </w:p>
    <w:p>
      <w:r>
        <w:rPr>
          <w:b/>
        </w:rPr>
        <w:t>¿Qué no funcionó o dificultó el trabajo?</w:t>
      </w:r>
    </w:p>
    <w:p>
      <w:r>
        <w:t>Con el tiempo se dificultó crear la lógica del envío de correos sin poder probarla, porque el SMTP todavía no se ha configurado. Pasa lo mismo con otros apartados que no han tenido pruebas reales durante el desarrollo.</w:t>
      </w:r>
    </w:p>
    <w:p>
      <w:r>
        <w:rPr>
          <w:b/>
        </w:rPr>
        <w:t>¿Qué aprendimos?</w:t>
      </w:r>
    </w:p>
    <w:p>
      <w:r>
        <w:t>Aprendimos a usar un gestor de contenido S3 (Garage), que puede albergar bastante información. Sin él, almacenar ese contenido habría sido pesado para el servidor.</w:t>
      </w:r>
    </w:p>
    <w:p>
      <w:r>
        <w:rPr>
          <w:b/>
        </w:rPr>
        <w:t>¿Qué acción concreta aplicaremos en el siguiente corte?</w:t>
      </w:r>
    </w:p>
    <w:p>
      <w:r>
        <w:t>Continuar con el mínimo viable y cargar la información del aplicativo original de Acopio Bogotá (RedAcopio), obtenida por scraping, por tandas y sin sobrecargar el servidor de terceros. Se verifica cuando el importador de la pieza E (</w:t>
      </w:r>
      <w:r>
        <w:t>#49</w:t>
      </w:r>
      <w:r>
        <w:t>) haya cargado esos acopios en el servidor de pruebas, antes del 15 de noviembre.</w:t>
      </w:r>
    </w:p>
    <w:p>
      <w:pPr>
        <w:pStyle w:val="Ttulo1"/>
      </w:pPr>
      <w:r>
        <w:t>4. Repositorio y servidor</w:t>
      </w:r>
    </w:p>
    <w:p>
      <w:pPr>
        <w:pStyle w:val="Vineta"/>
      </w:pPr>
      <w:r>
        <w:t xml:space="preserve">•  </w:t>
      </w:r>
      <w:r>
        <w:t xml:space="preserve">Repositorio público: </w:t>
      </w:r>
      <w:r>
        <w:t>https://github.com/Proyecto-IngSoftware/acopio</w:t>
      </w:r>
    </w:p>
    <w:p>
      <w:pPr>
        <w:pStyle w:val="Vineta"/>
      </w:pPr>
      <w:r>
        <w:t xml:space="preserve">•  </w:t>
      </w:r>
      <w:r>
        <w:t xml:space="preserve">Servidor de pruebas con la demo: </w:t>
      </w:r>
      <w:r>
        <w:t>https://acopio.josephqaz.dev</w:t>
      </w:r>
    </w:p>
    <w:sectPr w:rsidR="00E2301E" w:rsidRPr="00473CB5" w:rsidSect="00034616">
      <w:pgSz w:w="11906" w:h="16838"/>
      <w:pgMar w:top="1247" w:right="1361" w:bottom="1134" w:left="136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JUAN PABLO BUSTAMANTE MORENO" w:date="2026-09-09T18:47:00Z" w:initials="JM">
    <w:p w14:paraId="3ED0B8BE" w14:textId="1A6D481D" w:rsidR="00000000" w:rsidRDefault="00000000">
      <w:r>
        <w:annotationRef/>
      </w:r>
      <w:r w:rsidRPr="06668264">
        <w:t>Los 5 hechos observables están muy bien; puede que haga falta indicar cuál es el problema general, en un párrafo. Da la impresión de que son 5 problemas.</w:t>
      </w:r>
    </w:p>
  </w:comment>
  <w:comment w:id="15" w:author="JUAN PABLO BUSTAMANTE MORENO" w:date="2026-09-09T18:54:00Z" w:initials="JM">
    <w:p w14:paraId="348525C2" w14:textId="4F1BC8CB" w:rsidR="00000000" w:rsidRDefault="00000000">
      <w:r>
        <w:annotationRef/>
      </w:r>
      <w:r w:rsidRPr="6D35AA9E">
        <w:t>Podría ser más llamativo el nombre.</w:t>
      </w:r>
    </w:p>
  </w:comment>
  <w:comment w:id="22" w:author="JUAN PABLO BUSTAMANTE MORENO" w:date="2026-09-09T19:03:00Z" w:initials="JM">
    <w:p w14:paraId="39EC59E6" w14:textId="047CDCB4" w:rsidR="00000000" w:rsidRDefault="00000000">
      <w:r>
        <w:annotationRef/>
      </w:r>
      <w:r w:rsidRPr="4A529F6C">
        <w:t>Ok, en general el documento está muy bien. No hay cosas de fondo por corregir, solo de forma (que ya fueron señaladas). Buen trabajo.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D0B8BE" w15:done="0"/>
  <w15:commentEx w15:paraId="348525C2" w15:done="0"/>
  <w15:commentEx w15:paraId="39EC59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EC9D5A" w16cex:dateUtc="2026-09-09T23:47:00Z">
    <w16cex:extLst>
      <w16:ext w16:uri="{CE6994B0-6A32-4C9F-8C6B-6E91EDA988CE}">
        <cr:reactions xmlns:cr="http://schemas.microsoft.com/office/comments/2020/reactions">
          <cr:reaction reactionType="1">
            <cr:reactionInfo dateUtc="2026-09-11T15:13:21Z">
              <cr:user userId="S::jdrhomandtb@itc.edu.co::17e7cf1a-94c6-4edf-b2e1-9604c33e8e3b" userProvider="AD" userName="JOSEPH DANIEL RHOMANDT BERMUDEZ"/>
            </cr:reactionInfo>
          </cr:reaction>
        </cr:reactions>
      </w16:ext>
    </w16cex:extLst>
  </w16cex:commentExtensible>
  <w16cex:commentExtensible w16cex:durableId="5A168199" w16cex:dateUtc="2026-09-09T23:54:00Z"/>
  <w16cex:commentExtensible w16cex:durableId="440A21FB" w16cex:dateUtc="2026-09-10T0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D0B8BE" w16cid:durableId="11EC9D5A"/>
  <w16cid:commentId w16cid:paraId="348525C2" w16cid:durableId="5A168199"/>
  <w16cid:commentId w16cid:paraId="39EC59E6" w16cid:durableId="440A21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F7E23" w14:textId="77777777" w:rsidR="006937EE" w:rsidRPr="00473CB5" w:rsidRDefault="006937EE">
      <w:pPr>
        <w:spacing w:after="0" w:line="240" w:lineRule="auto"/>
      </w:pPr>
      <w:r w:rsidRPr="00473CB5">
        <w:separator/>
      </w:r>
    </w:p>
  </w:endnote>
  <w:endnote w:type="continuationSeparator" w:id="0">
    <w:p w14:paraId="7BCE3E91" w14:textId="77777777" w:rsidR="006937EE" w:rsidRPr="00473CB5" w:rsidRDefault="006937EE">
      <w:pPr>
        <w:spacing w:after="0" w:line="240" w:lineRule="auto"/>
      </w:pPr>
      <w:r w:rsidRPr="00473C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2F54" w14:textId="77777777" w:rsidR="00E2301E" w:rsidRPr="00473CB5" w:rsidRDefault="00000000">
    <w:pPr>
      <w:pStyle w:val="Piedepgina"/>
      <w:jc w:val="center"/>
    </w:pPr>
    <w:r w:rsidRPr="00473CB5">
      <w:rPr>
        <w:rFonts w:ascii="Segoe UI" w:eastAsia="Segoe UI" w:hAnsi="Segoe UI" w:cs="Segoe UI"/>
        <w:color w:val="A8A29E"/>
        <w:sz w:val="17"/>
      </w:rPr>
      <w:fldChar w:fldCharType="begin"/>
    </w:r>
    <w:r w:rsidRPr="00473CB5">
      <w:rPr>
        <w:rFonts w:ascii="Segoe UI" w:eastAsia="Segoe UI" w:hAnsi="Segoe UI" w:cs="Segoe UI"/>
        <w:color w:val="A8A29E"/>
        <w:sz w:val="17"/>
      </w:rPr>
      <w:instrText xml:space="preserve"> PAGE </w:instrText>
    </w:r>
    <w:r w:rsidRPr="00473CB5">
      <w:rPr>
        <w:rFonts w:ascii="Segoe UI" w:eastAsia="Segoe UI" w:hAnsi="Segoe UI" w:cs="Segoe UI"/>
        <w:color w:val="A8A29E"/>
        <w:sz w:val="17"/>
      </w:rPr>
      <w:fldChar w:fldCharType="separate"/>
    </w:r>
    <w:r w:rsidR="00FA7431" w:rsidRPr="00473CB5">
      <w:rPr>
        <w:rFonts w:ascii="Segoe UI" w:eastAsia="Segoe UI" w:hAnsi="Segoe UI" w:cs="Segoe UI"/>
        <w:color w:val="A8A29E"/>
        <w:sz w:val="17"/>
      </w:rPr>
      <w:t>1</w:t>
    </w:r>
    <w:r w:rsidRPr="00473CB5">
      <w:rPr>
        <w:rFonts w:ascii="Segoe UI" w:eastAsia="Segoe UI" w:hAnsi="Segoe UI" w:cs="Segoe UI"/>
        <w:color w:val="A8A29E"/>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EF0E7" w14:textId="77777777" w:rsidR="006937EE" w:rsidRPr="00473CB5" w:rsidRDefault="006937EE">
      <w:pPr>
        <w:spacing w:after="0" w:line="240" w:lineRule="auto"/>
      </w:pPr>
      <w:r w:rsidRPr="00473CB5">
        <w:separator/>
      </w:r>
    </w:p>
  </w:footnote>
  <w:footnote w:type="continuationSeparator" w:id="0">
    <w:p w14:paraId="036031DE" w14:textId="77777777" w:rsidR="006937EE" w:rsidRPr="00473CB5" w:rsidRDefault="006937EE">
      <w:pPr>
        <w:spacing w:after="0" w:line="240" w:lineRule="auto"/>
      </w:pPr>
      <w:r w:rsidRPr="00473CB5">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d4ZX/6k2XVJ7ib" int2:id="lqKWewt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F8F2695"/>
    <w:multiLevelType w:val="multilevel"/>
    <w:tmpl w:val="DB6A0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A2588E"/>
    <w:multiLevelType w:val="hybridMultilevel"/>
    <w:tmpl w:val="1D68A576"/>
    <w:lvl w:ilvl="0" w:tplc="8E664B2A">
      <w:start w:val="1"/>
      <w:numFmt w:val="bullet"/>
      <w:lvlText w:val=""/>
      <w:lvlJc w:val="left"/>
      <w:pPr>
        <w:ind w:left="144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5170056F"/>
    <w:multiLevelType w:val="multilevel"/>
    <w:tmpl w:val="46C8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E6113"/>
    <w:multiLevelType w:val="multilevel"/>
    <w:tmpl w:val="DF4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8D0AFF"/>
    <w:multiLevelType w:val="hybridMultilevel"/>
    <w:tmpl w:val="38D24242"/>
    <w:lvl w:ilvl="0" w:tplc="1CECC9DA">
      <w:start w:val="4"/>
      <w:numFmt w:val="bullet"/>
      <w:lvlText w:val="-"/>
      <w:lvlJc w:val="left"/>
      <w:pPr>
        <w:ind w:left="720" w:hanging="360"/>
      </w:pPr>
      <w:rPr>
        <w:rFonts w:ascii="Cambria" w:eastAsia="Cambria" w:hAnsi="Cambria" w:cs="Cambria"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6FCD6A4E"/>
    <w:multiLevelType w:val="hybridMultilevel"/>
    <w:tmpl w:val="150268C0"/>
    <w:lvl w:ilvl="0" w:tplc="27542F9A">
      <w:start w:val="1"/>
      <w:numFmt w:val="bullet"/>
      <w:lvlText w:val=""/>
      <w:lvlJc w:val="left"/>
      <w:pPr>
        <w:ind w:left="720" w:hanging="360"/>
      </w:pPr>
      <w:rPr>
        <w:rFonts w:ascii="Symbol" w:hAnsi="Symbol" w:hint="default"/>
        <w:color w:val="auto"/>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5" w15:restartNumberingAfterBreak="0">
    <w:nsid w:val="71A81235"/>
    <w:multiLevelType w:val="multilevel"/>
    <w:tmpl w:val="557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F512D"/>
    <w:multiLevelType w:val="multilevel"/>
    <w:tmpl w:val="030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918928">
    <w:abstractNumId w:val="8"/>
  </w:num>
  <w:num w:numId="2" w16cid:durableId="1152595805">
    <w:abstractNumId w:val="6"/>
  </w:num>
  <w:num w:numId="3" w16cid:durableId="1371220407">
    <w:abstractNumId w:val="5"/>
  </w:num>
  <w:num w:numId="4" w16cid:durableId="1862355980">
    <w:abstractNumId w:val="4"/>
  </w:num>
  <w:num w:numId="5" w16cid:durableId="1019310944">
    <w:abstractNumId w:val="7"/>
  </w:num>
  <w:num w:numId="6" w16cid:durableId="913203921">
    <w:abstractNumId w:val="3"/>
  </w:num>
  <w:num w:numId="7" w16cid:durableId="1486125497">
    <w:abstractNumId w:val="2"/>
  </w:num>
  <w:num w:numId="8" w16cid:durableId="533805707">
    <w:abstractNumId w:val="1"/>
  </w:num>
  <w:num w:numId="9" w16cid:durableId="727993240">
    <w:abstractNumId w:val="0"/>
  </w:num>
  <w:num w:numId="10" w16cid:durableId="2145656612">
    <w:abstractNumId w:val="9"/>
  </w:num>
  <w:num w:numId="11" w16cid:durableId="980772154">
    <w:abstractNumId w:val="15"/>
  </w:num>
  <w:num w:numId="12" w16cid:durableId="359159894">
    <w:abstractNumId w:val="11"/>
  </w:num>
  <w:num w:numId="13" w16cid:durableId="2109694856">
    <w:abstractNumId w:val="16"/>
  </w:num>
  <w:num w:numId="14" w16cid:durableId="1601445158">
    <w:abstractNumId w:val="14"/>
  </w:num>
  <w:num w:numId="15" w16cid:durableId="92559988">
    <w:abstractNumId w:val="10"/>
  </w:num>
  <w:num w:numId="16" w16cid:durableId="1299067693">
    <w:abstractNumId w:val="13"/>
  </w:num>
  <w:num w:numId="17" w16cid:durableId="191955704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BUSTAMANTE MORENO">
    <w15:presenceInfo w15:providerId="AD" w15:userId="S::jpbustamantem@itc.edu.co::4a090a4f-9489-491e-b13e-a0936b0027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26"/>
    <w:rsid w:val="00012E9C"/>
    <w:rsid w:val="00034616"/>
    <w:rsid w:val="00055EEC"/>
    <w:rsid w:val="0006063C"/>
    <w:rsid w:val="00067766"/>
    <w:rsid w:val="0009428C"/>
    <w:rsid w:val="000C1090"/>
    <w:rsid w:val="0015074B"/>
    <w:rsid w:val="00203FC8"/>
    <w:rsid w:val="0021133D"/>
    <w:rsid w:val="00261134"/>
    <w:rsid w:val="0026534C"/>
    <w:rsid w:val="0029639D"/>
    <w:rsid w:val="003170FD"/>
    <w:rsid w:val="00326F90"/>
    <w:rsid w:val="003400C4"/>
    <w:rsid w:val="003B35E1"/>
    <w:rsid w:val="00473CB5"/>
    <w:rsid w:val="004A5C6B"/>
    <w:rsid w:val="004F7A63"/>
    <w:rsid w:val="00670B79"/>
    <w:rsid w:val="006937EE"/>
    <w:rsid w:val="006B01D0"/>
    <w:rsid w:val="007025BB"/>
    <w:rsid w:val="00732F44"/>
    <w:rsid w:val="00735779"/>
    <w:rsid w:val="00745EC2"/>
    <w:rsid w:val="00783F01"/>
    <w:rsid w:val="00857649"/>
    <w:rsid w:val="00913754"/>
    <w:rsid w:val="00967093"/>
    <w:rsid w:val="0097012C"/>
    <w:rsid w:val="00984140"/>
    <w:rsid w:val="00984EFA"/>
    <w:rsid w:val="009A1063"/>
    <w:rsid w:val="009B516E"/>
    <w:rsid w:val="00A12365"/>
    <w:rsid w:val="00A46151"/>
    <w:rsid w:val="00A85073"/>
    <w:rsid w:val="00A86B9F"/>
    <w:rsid w:val="00AA1D8D"/>
    <w:rsid w:val="00B47730"/>
    <w:rsid w:val="00B57820"/>
    <w:rsid w:val="00BF45E5"/>
    <w:rsid w:val="00C128C5"/>
    <w:rsid w:val="00C16BA9"/>
    <w:rsid w:val="00C91532"/>
    <w:rsid w:val="00CB0664"/>
    <w:rsid w:val="00D8655D"/>
    <w:rsid w:val="00DC03AB"/>
    <w:rsid w:val="00DF55D4"/>
    <w:rsid w:val="00E15DE6"/>
    <w:rsid w:val="00E16176"/>
    <w:rsid w:val="00E2301E"/>
    <w:rsid w:val="00E8174E"/>
    <w:rsid w:val="00E83E61"/>
    <w:rsid w:val="00E87650"/>
    <w:rsid w:val="00F71230"/>
    <w:rsid w:val="00FA7431"/>
    <w:rsid w:val="00FC693F"/>
    <w:rsid w:val="00FE5E79"/>
    <w:rsid w:val="019E102D"/>
    <w:rsid w:val="06A0C53B"/>
    <w:rsid w:val="06DE633B"/>
    <w:rsid w:val="10C82BC3"/>
    <w:rsid w:val="140780EB"/>
    <w:rsid w:val="183B5799"/>
    <w:rsid w:val="2565C17E"/>
    <w:rsid w:val="31AE2FAE"/>
    <w:rsid w:val="334D70A1"/>
    <w:rsid w:val="33BA2888"/>
    <w:rsid w:val="40A23002"/>
    <w:rsid w:val="4299855C"/>
    <w:rsid w:val="4D490452"/>
    <w:rsid w:val="547C2236"/>
    <w:rsid w:val="5E2C6509"/>
    <w:rsid w:val="623A31F5"/>
    <w:rsid w:val="625DF8AC"/>
    <w:rsid w:val="7715E27F"/>
    <w:rsid w:val="78C696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2DB5C"/>
  <w14:defaultImageDpi w14:val="300"/>
  <w15:docId w15:val="{3B51F67B-D906-40CE-85AE-E6C2D8234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Cambria" w:eastAsia="Cambria" w:hAnsi="Cambria" w:cs="Cambria"/>
      <w:color w:val="1C1917"/>
      <w:lang w:val="es-419"/>
    </w:rPr>
  </w:style>
  <w:style w:type="paragraph" w:styleId="Ttulo1">
    <w:name w:val="heading 1"/>
    <w:basedOn w:val="Normal"/>
    <w:next w:val="Normal"/>
    <w:link w:val="Ttulo1Car"/>
    <w:uiPriority w:val="9"/>
    <w:qFormat/>
    <w:rsid w:val="00FC693F"/>
    <w:pPr>
      <w:keepNext/>
      <w:keepLines/>
      <w:pBdr>
        <w:bottom w:val="single" w:sz="12" w:space="6" w:color="0F6E6E"/>
      </w:pBdr>
      <w:spacing w:after="240" w:line="240" w:lineRule="auto"/>
      <w:jc w:val="left"/>
      <w:outlineLvl w:val="0"/>
    </w:pPr>
    <w:rPr>
      <w:rFonts w:asciiTheme="majorHAnsi" w:eastAsiaTheme="majorEastAsia" w:hAnsiTheme="majorHAnsi" w:cstheme="majorBidi"/>
      <w:b/>
      <w:bCs/>
      <w:caps/>
      <w:color w:val="0F6E6E"/>
      <w:sz w:val="34"/>
      <w:szCs w:val="28"/>
    </w:rPr>
  </w:style>
  <w:style w:type="paragraph" w:styleId="Ttulo2">
    <w:name w:val="heading 2"/>
    <w:basedOn w:val="Normal"/>
    <w:next w:val="Normal"/>
    <w:link w:val="Ttulo2Car"/>
    <w:uiPriority w:val="9"/>
    <w:unhideWhenUsed/>
    <w:qFormat/>
    <w:rsid w:val="00FC693F"/>
    <w:pPr>
      <w:keepNext/>
      <w:keepLines/>
      <w:spacing w:before="320" w:after="100" w:line="240" w:lineRule="auto"/>
      <w:jc w:val="left"/>
      <w:outlineLvl w:val="1"/>
    </w:pPr>
    <w:rPr>
      <w:rFonts w:asciiTheme="majorHAnsi" w:eastAsiaTheme="majorEastAsia" w:hAnsiTheme="majorHAnsi" w:cstheme="majorBidi"/>
      <w:b/>
      <w:bCs/>
      <w:color w:val="0A4F4F"/>
      <w:sz w:val="26"/>
      <w:szCs w:val="26"/>
    </w:rPr>
  </w:style>
  <w:style w:type="paragraph" w:styleId="Ttulo3">
    <w:name w:val="heading 3"/>
    <w:basedOn w:val="Normal"/>
    <w:next w:val="Normal"/>
    <w:link w:val="Ttulo3Car"/>
    <w:uiPriority w:val="9"/>
    <w:unhideWhenUsed/>
    <w:qFormat/>
    <w:rsid w:val="00FC693F"/>
    <w:pPr>
      <w:keepNext/>
      <w:keepLines/>
      <w:spacing w:before="240" w:after="60"/>
      <w:jc w:val="left"/>
      <w:outlineLvl w:val="2"/>
    </w:pPr>
    <w:rPr>
      <w:rFonts w:asciiTheme="majorHAnsi" w:eastAsiaTheme="majorEastAsia" w:hAnsiTheme="majorHAnsi" w:cstheme="majorBidi"/>
      <w:b/>
      <w:bCs/>
      <w:color w:val="57534E"/>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80" w:line="240" w:lineRule="auto"/>
      <w:contextualSpacing/>
      <w:jc w:val="left"/>
    </w:pPr>
    <w:rPr>
      <w:rFonts w:asciiTheme="majorHAnsi" w:eastAsiaTheme="majorEastAsia" w:hAnsiTheme="majorHAnsi" w:cstheme="majorBidi"/>
      <w:b/>
      <w:color w:val="0A4F4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os">
    <w:name w:val="Metadatos"/>
    <w:basedOn w:val="Normal"/>
    <w:pPr>
      <w:spacing w:after="20"/>
      <w:jc w:val="left"/>
    </w:pPr>
    <w:rPr>
      <w:rFonts w:ascii="Segoe UI" w:eastAsia="Segoe UI" w:hAnsi="Segoe UI" w:cs="Segoe UI"/>
      <w:color w:val="57534E"/>
      <w:sz w:val="20"/>
    </w:rPr>
  </w:style>
  <w:style w:type="paragraph" w:customStyle="1" w:styleId="Citadestacada1">
    <w:name w:val="Cita destacada1"/>
    <w:basedOn w:val="Normal"/>
    <w:pPr>
      <w:pBdr>
        <w:left w:val="single" w:sz="18" w:space="8" w:color="D97706"/>
      </w:pBdr>
      <w:spacing w:before="60" w:after="60" w:line="264" w:lineRule="auto"/>
      <w:ind w:left="312" w:right="198"/>
      <w:jc w:val="left"/>
    </w:pPr>
    <w:rPr>
      <w:color w:val="7C2D12"/>
      <w:sz w:val="20"/>
    </w:rPr>
  </w:style>
  <w:style w:type="paragraph" w:customStyle="1" w:styleId="Bloquedecodigo">
    <w:name w:val="Bloque de codigo"/>
    <w:basedOn w:val="Normal"/>
    <w:pPr>
      <w:spacing w:after="0" w:line="0" w:lineRule="auto"/>
      <w:ind w:left="198"/>
      <w:jc w:val="left"/>
    </w:pPr>
    <w:rPr>
      <w:rFonts w:ascii="Consolas" w:eastAsia="Consolas" w:hAnsi="Consolas" w:cs="Consolas"/>
      <w:sz w:val="17"/>
    </w:rPr>
  </w:style>
  <w:style w:type="paragraph" w:customStyle="1" w:styleId="Vineta">
    <w:name w:val="Vineta"/>
    <w:basedOn w:val="Normal"/>
    <w:pPr>
      <w:spacing w:after="60" w:line="264" w:lineRule="auto"/>
      <w:ind w:left="425" w:hanging="255"/>
      <w:jc w:val="left"/>
    </w:pPr>
  </w:style>
  <w:style w:type="paragraph" w:customStyle="1" w:styleId="Textodetabla">
    <w:name w:val="Texto de tabla"/>
    <w:basedOn w:val="Normal"/>
    <w:pPr>
      <w:spacing w:before="40" w:after="40" w:line="252" w:lineRule="auto"/>
      <w:jc w:val="left"/>
    </w:pPr>
    <w:rPr>
      <w:rFonts w:ascii="Segoe UI" w:eastAsia="Segoe UI" w:hAnsi="Segoe UI" w:cs="Segoe UI"/>
      <w:sz w:val="17"/>
    </w:rPr>
  </w:style>
  <w:style w:type="paragraph" w:styleId="NormalWeb">
    <w:name w:val="Normal (Web)"/>
    <w:basedOn w:val="Normal"/>
    <w:uiPriority w:val="99"/>
    <w:semiHidden/>
    <w:unhideWhenUsed/>
    <w:rsid w:val="0097012C"/>
    <w:rPr>
      <w:rFonts w:ascii="Times New Roman" w:hAnsi="Times New Roman" w:cs="Times New Roman"/>
      <w:sz w:val="24"/>
      <w:szCs w:val="24"/>
    </w:rPr>
  </w:style>
  <w:style w:type="character" w:styleId="Hipervnculo">
    <w:name w:val="Hyperlink"/>
    <w:basedOn w:val="Fuentedeprrafopredeter"/>
    <w:uiPriority w:val="99"/>
    <w:unhideWhenUsed/>
    <w:rsid w:val="00A46151"/>
    <w:rPr>
      <w:color w:val="0000FF" w:themeColor="hyperlink"/>
      <w:u w:val="single"/>
    </w:rPr>
  </w:style>
  <w:style w:type="character" w:styleId="Mencinsinresolver">
    <w:name w:val="Unresolved Mention"/>
    <w:basedOn w:val="Fuentedeprrafopredeter"/>
    <w:uiPriority w:val="99"/>
    <w:semiHidden/>
    <w:unhideWhenUsed/>
    <w:rsid w:val="00A46151"/>
    <w:rPr>
      <w:color w:val="605E5C"/>
      <w:shd w:val="clear" w:color="auto" w:fill="E1DFDD"/>
    </w:rPr>
  </w:style>
  <w:style w:type="character" w:styleId="Hipervnculovisitado">
    <w:name w:val="FollowedHyperlink"/>
    <w:basedOn w:val="Fuentedeprrafopredeter"/>
    <w:uiPriority w:val="99"/>
    <w:semiHidden/>
    <w:unhideWhenUsed/>
    <w:rsid w:val="00A46151"/>
    <w:rPr>
      <w:color w:val="800080" w:themeColor="followedHyperlink"/>
      <w:u w:val="single"/>
    </w:rPr>
  </w:style>
  <w:style w:type="paragraph" w:styleId="TDC1">
    <w:name w:val="toc 1"/>
    <w:basedOn w:val="Normal"/>
    <w:next w:val="Normal"/>
    <w:autoRedefine/>
    <w:uiPriority w:val="39"/>
    <w:unhideWhenUsed/>
    <w:rsid w:val="000C1090"/>
    <w:pPr>
      <w:spacing w:after="100"/>
    </w:pPr>
  </w:style>
  <w:style w:type="paragraph" w:styleId="TDC2">
    <w:name w:val="toc 2"/>
    <w:basedOn w:val="Normal"/>
    <w:next w:val="Normal"/>
    <w:autoRedefine/>
    <w:uiPriority w:val="39"/>
    <w:unhideWhenUsed/>
    <w:rsid w:val="000C1090"/>
    <w:pPr>
      <w:spacing w:after="100"/>
      <w:ind w:left="220"/>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Cambria" w:eastAsia="Cambria" w:hAnsi="Cambria" w:cs="Cambria"/>
      <w:color w:val="1C1917"/>
      <w:sz w:val="20"/>
      <w:szCs w:val="20"/>
      <w:lang w:val="es-419"/>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edacopiobogota.com/" TargetMode="External"/><Relationship Id="rId18" Type="http://schemas.openxmlformats.org/officeDocument/2006/relationships/hyperlink" Target="https://www.infobae.com/colombia/2026/08/10/centros-de-acopio-habilitados-en-colombia-tras-el-terremoto-guia-por-ciudad-para-donar-y-ayudar-a-las-victimas" TargetMode="External"/><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yperlink" Target="https://www.ushahidi.com"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bogota.gov.co/mi-ciudad/ambiente/que-donar-y-no-donar-en-bogota-para-damnificados-terremoto-colombia"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pccolombia.gov.co/comunicaciones/noticias/apc-colombia-emite-orientaciones-para-articular-las-donaciones-y-ayudas" TargetMode="External"/><Relationship Id="rId20" Type="http://schemas.openxmlformats.org/officeDocument/2006/relationships/hyperlink" Target="https://sahanafoundati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dane.gov.co/index.php/estadisticas-por-tema/demografia-y-poblacion/proyecciones-de-poblacion" TargetMode="Externa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www.canalcapital.gov.co/ahora/palacio-de-los-deportes-donaciones-hoy-horario-como-ayudar"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spherestandards.org/wp-content/uploads/El-manual-Esfera-2018-ES.pdf" TargetMode="External"/><Relationship Id="rId22" Type="http://schemas.openxmlformats.org/officeDocument/2006/relationships/hyperlink" Target="https://www.kobotoolbox.org" TargetMode="Externa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5548</Words>
  <Characters>30520</Characters>
  <Application>Microsoft Office Word</Application>
  <DocSecurity>0</DocSecurity>
  <Lines>254</Lines>
  <Paragraphs>71</Paragraphs>
  <ScaleCrop>false</ScaleCrop>
  <Manager/>
  <Company/>
  <LinksUpToDate>false</LinksUpToDate>
  <CharactersWithSpaces>35997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de proyecto #5 — Sprint 2</dc:title>
  <dc:subject>Acopio · Ingeniería de Software I · ETITC</dc:subject>
  <dc:creator>python-docx</dc:creator>
  <cp:keywords/>
  <dc:description>generated by python-docx</dc:description>
  <cp:lastModifiedBy>JOSEPH DANIEL RHOMANDT BERMUDEZ</cp:lastModifiedBy>
  <cp:revision>3</cp:revision>
  <dcterms:created xsi:type="dcterms:W3CDTF">2026-09-11T16:07:00Z</dcterms:created>
  <dcterms:modified xsi:type="dcterms:W3CDTF">2026-09-11T16:10:00Z</dcterms:modified>
  <cp:category/>
</cp:coreProperties>
</file>