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tulo"/>
      </w:pPr>
      <w:r>
        <w:t>Complemento documental para la sustentación del segundo corte</w:t>
      </w:r>
    </w:p>
    <w:p>
      <w:pPr>
        <w:pStyle w:val="Metadatos"/>
      </w:pPr>
      <w:r>
        <w:rPr>
          <w:b/>
        </w:rPr>
        <w:t xml:space="preserve">Asignatura: </w:t>
      </w:r>
      <w:r>
        <w:t>Ingeniería de Software I</w:t>
      </w:r>
    </w:p>
    <w:p>
      <w:pPr>
        <w:pStyle w:val="Metadatos"/>
      </w:pPr>
      <w:r>
        <w:rPr>
          <w:b/>
        </w:rPr>
        <w:t xml:space="preserve">Docente: </w:t>
      </w:r>
      <w:r>
        <w:t>Juan Pablo Bustamante Moreno</w:t>
      </w:r>
    </w:p>
    <w:p>
      <w:pPr>
        <w:pStyle w:val="Metadatos"/>
      </w:pPr>
      <w:r>
        <w:rPr>
          <w:b/>
        </w:rPr>
        <w:t xml:space="preserve">Institución: </w:t>
      </w:r>
      <w:r>
        <w:t>Escuela Tecnológica Instituto Técnico Central (ETITC)</w:t>
      </w:r>
    </w:p>
    <w:p>
      <w:pPr>
        <w:pStyle w:val="Metadatos"/>
      </w:pPr>
      <w:r>
        <w:rPr>
          <w:b/>
        </w:rPr>
        <w:t xml:space="preserve">Integrantes: </w:t>
      </w:r>
      <w:r>
        <w:t>Joseph · Brayan · Alejandra · Michael</w:t>
      </w:r>
    </w:p>
    <w:p>
      <w:pPr>
        <w:pStyle w:val="Metadatos"/>
      </w:pPr>
      <w:r>
        <w:rPr>
          <w:b/>
        </w:rPr>
        <w:t xml:space="preserve">Sustentación: </w:t>
      </w:r>
      <w:r>
        <w:t>30 de octubre de 2026</w:t>
      </w:r>
    </w:p>
    <w:p>
      <w:pPr>
        <w:pStyle w:val="Metadatos"/>
      </w:pPr>
      <w:r>
        <w:rPr>
          <w:b/>
        </w:rPr>
        <w:t xml:space="preserve">Repositorio: </w:t>
      </w:r>
      <w:r>
        <w:t>https://github.com/Proyecto-IngSoftware/acopio</w:t>
      </w:r>
    </w:p>
    <w:p>
      <w:r>
        <w:br w:type="page"/>
      </w:r>
    </w:p>
    <w:p>
      <w:pPr>
        <w:pStyle w:val="Ttulo1"/>
      </w:pPr>
      <w:r>
        <w:t>1. Diagrama de paquetes y ADR-002</w:t>
      </w:r>
    </w:p>
    <w:p>
      <w:pPr>
        <w:pStyle w:val="Ttulo2"/>
      </w:pPr>
      <w:r>
        <w:t>1a. Diagrama de paquetes</w:t>
      </w:r>
    </w:p>
    <w:p>
      <w:r>
        <w:t xml:space="preserve">El diagrama se dibuja a mano en </w:t>
      </w:r>
      <w:r>
        <w:rPr>
          <w:rFonts w:ascii="Consolas" w:hAnsi="Consolas"/>
          <w:sz w:val="19"/>
        </w:rPr>
        <w:t>docs/02-arquitectura/diagramas/paquetes.html</w:t>
      </w:r>
      <w:r>
        <w:t xml:space="preserve"> y tiene dos láminas. La primera muestra el monorepo y la segunda los doce módulos de la API. El 30 de octubre lo comparamos con los imports reales del código: los doce módulos coincidían, pero solo estaba dibujada la dependencia de </w:t>
      </w:r>
      <w:r>
        <w:rPr>
          <w:rFonts w:ascii="Consolas" w:hAnsi="Consolas"/>
          <w:sz w:val="19"/>
        </w:rPr>
        <w:t>comprobantes</w:t>
      </w:r>
      <w:r>
        <w:t xml:space="preserve"> hacia </w:t>
      </w:r>
      <w:r>
        <w:rPr>
          <w:rFonts w:ascii="Consolas" w:hAnsi="Consolas"/>
          <w:sz w:val="19"/>
        </w:rPr>
        <w:t>almacenamiento</w:t>
      </w:r>
      <w:r>
        <w:t xml:space="preserve">. También dependen de </w:t>
      </w:r>
      <w:r>
        <w:rPr>
          <w:rFonts w:ascii="Consolas" w:hAnsi="Consolas"/>
          <w:sz w:val="19"/>
        </w:rPr>
        <w:t>almacenamiento</w:t>
      </w:r>
      <w:r>
        <w:t xml:space="preserve"> los módulos </w:t>
      </w:r>
      <w:r>
        <w:rPr>
          <w:rFonts w:ascii="Consolas" w:hAnsi="Consolas"/>
          <w:sz w:val="19"/>
        </w:rPr>
        <w:t>acopios</w:t>
      </w:r>
      <w:r>
        <w:t xml:space="preserve">, </w:t>
      </w:r>
      <w:r>
        <w:rPr>
          <w:rFonts w:ascii="Consolas" w:hAnsi="Consolas"/>
          <w:sz w:val="19"/>
        </w:rPr>
        <w:t>motor</w:t>
      </w:r>
      <w:r>
        <w:t xml:space="preserve"> e </w:t>
      </w:r>
      <w:r>
        <w:rPr>
          <w:rFonts w:ascii="Consolas" w:hAnsi="Consolas"/>
          <w:sz w:val="19"/>
        </w:rPr>
        <w:t>importacion</w:t>
      </w:r>
      <w:r>
        <w:t xml:space="preserve">, y ahora el diagrama lo dice con una etiqueta, como ya hacía con </w:t>
      </w:r>
      <w:r>
        <w:rPr>
          <w:rFonts w:ascii="Consolas" w:hAnsi="Consolas"/>
          <w:sz w:val="19"/>
        </w:rPr>
        <w:t>identidad</w:t>
      </w:r>
      <w:r>
        <w:t xml:space="preserve"> y </w:t>
      </w:r>
      <w:r>
        <w:rPr>
          <w:rFonts w:ascii="Consolas" w:hAnsi="Consolas"/>
          <w:sz w:val="19"/>
        </w:rPr>
        <w:t>auditoria</w:t>
      </w:r>
      <w:r>
        <w:t>.</w:t>
      </w:r>
    </w:p>
    <w:p>
      <w:pPr>
        <w:keepNext/>
        <w:spacing w:after="40"/>
        <w:jc w:val="center"/>
      </w:pPr>
      <w:r>
        <w:drawing>
          <wp:inline xmlns:a="http://schemas.openxmlformats.org/drawingml/2006/main" xmlns:pic="http://schemas.openxmlformats.org/drawingml/2006/picture">
            <wp:extent cx="5831840" cy="2688705"/>
            <wp:docPr id="1" name="Picture 1"/>
            <wp:cNvGraphicFramePr>
              <a:graphicFrameLocks noChangeAspect="1"/>
            </wp:cNvGraphicFramePr>
            <a:graphic>
              <a:graphicData uri="http://schemas.openxmlformats.org/drawingml/2006/picture">
                <pic:pic>
                  <pic:nvPicPr>
                    <pic:cNvPr id="0" name="arquitectura-03-paquetes-del-monorepo.png"/>
                    <pic:cNvPicPr/>
                  </pic:nvPicPr>
                  <pic:blipFill>
                    <a:blip r:embed="rId27"/>
                    <a:stretch>
                      <a:fillRect/>
                    </a:stretch>
                  </pic:blipFill>
                  <pic:spPr>
                    <a:xfrm>
                      <a:off x="0" y="0"/>
                      <a:ext cx="5831840" cy="2688705"/>
                    </a:xfrm>
                    <a:prstGeom prst="rect"/>
                  </pic:spPr>
                </pic:pic>
              </a:graphicData>
            </a:graphic>
          </wp:inline>
        </w:drawing>
      </w:r>
    </w:p>
    <w:p>
      <w:pPr>
        <w:jc w:val="center"/>
      </w:pPr>
      <w:r>
        <w:rPr>
          <w:b/>
          <w:color w:val="57534E"/>
          <w:sz w:val="18"/>
        </w:rPr>
        <w:t xml:space="preserve">Figura 1. </w:t>
      </w:r>
      <w:r>
        <w:rPr>
          <w:color w:val="57534E"/>
          <w:sz w:val="18"/>
        </w:rPr>
        <w:t>Paquetes del monorepo: la web, la API y los paquetes compartidos.</w:t>
      </w:r>
    </w:p>
    <w:p>
      <w:pPr>
        <w:keepNext/>
        <w:spacing w:after="40"/>
        <w:jc w:val="center"/>
      </w:pPr>
      <w:r>
        <w:drawing>
          <wp:inline xmlns:a="http://schemas.openxmlformats.org/drawingml/2006/main" xmlns:pic="http://schemas.openxmlformats.org/drawingml/2006/picture">
            <wp:extent cx="5831840" cy="5349009"/>
            <wp:docPr id="2" name="Picture 2"/>
            <wp:cNvGraphicFramePr>
              <a:graphicFrameLocks noChangeAspect="1"/>
            </wp:cNvGraphicFramePr>
            <a:graphic>
              <a:graphicData uri="http://schemas.openxmlformats.org/drawingml/2006/picture">
                <pic:pic>
                  <pic:nvPicPr>
                    <pic:cNvPr id="0" name="arquitectura-04-paquetes-de-la-api.png"/>
                    <pic:cNvPicPr/>
                  </pic:nvPicPr>
                  <pic:blipFill>
                    <a:blip r:embed="rId28"/>
                    <a:stretch>
                      <a:fillRect/>
                    </a:stretch>
                  </pic:blipFill>
                  <pic:spPr>
                    <a:xfrm>
                      <a:off x="0" y="0"/>
                      <a:ext cx="5831840" cy="5349009"/>
                    </a:xfrm>
                    <a:prstGeom prst="rect"/>
                  </pic:spPr>
                </pic:pic>
              </a:graphicData>
            </a:graphic>
          </wp:inline>
        </w:drawing>
      </w:r>
    </w:p>
    <w:p>
      <w:pPr>
        <w:jc w:val="center"/>
      </w:pPr>
      <w:r>
        <w:rPr>
          <w:b/>
          <w:color w:val="57534E"/>
          <w:sz w:val="18"/>
        </w:rPr>
        <w:t xml:space="preserve">Figura 2. </w:t>
      </w:r>
      <w:r>
        <w:rPr>
          <w:color w:val="57534E"/>
          <w:sz w:val="18"/>
        </w:rPr>
        <w:t>Paquetes de la API: los módulos de dominio arriba y los transversales abajo. Cada módulo importa solo a los de abajo.</w:t>
      </w:r>
    </w:p>
    <w:p>
      <w:pPr>
        <w:pStyle w:val="Ttulo2"/>
      </w:pPr>
      <w:r>
        <w:t>1b. ADR-002 · Organización del código en paquetes</w:t>
      </w:r>
    </w:p>
    <w:p>
      <w:r>
        <w:t xml:space="preserve">En el repositorio es el </w:t>
      </w:r>
      <w:r>
        <w:t>ADR-0023</w:t>
      </w:r>
      <w:r>
        <w:t>, porque el número 0002 ya era otra decisión y los números no se reutilizan. El ADR-001 del curso es el ADR-0008 del repositorio.</w:t>
      </w:r>
    </w:p>
    <w:tbl>
      <w:tblPr>
        <w:tblStyle w:val="Tablaconcuadrcula"/>
        <w:tblW w:type="auto" w:w="0"/>
        <w:jc w:val="center"/>
        <w:tblLook w:firstColumn="1" w:firstRow="1" w:lastColumn="0" w:lastRow="0" w:noHBand="0" w:noVBand="1" w:val="04A0"/>
      </w:tblPr>
      <w:tblGrid>
        <w:gridCol w:w="4592"/>
        <w:gridCol w:w="4592"/>
      </w:tblGrid>
      <w:tr>
        <w:trPr>
          <w:cantSplit w:val="true"/>
          <w:tblHeader w:val="true"/>
        </w:trPr>
        <w:tc>
          <w:tcPr>
            <w:tcW w:type="dxa" w:w="2268"/>
            <w:shd w:val="clear" w:color="auto" w:fill="0F6E6E"/>
          </w:tcPr>
          <w:p>
            <w:pPr>
              <w:spacing w:after="40"/>
              <w:jc w:val="left"/>
            </w:pPr>
            <w:r>
              <w:rPr>
                <w:b/>
                <w:color w:val="FFFFFF"/>
                <w:sz w:val="16"/>
              </w:rPr>
              <w:t>Elemento</w:t>
            </w:r>
          </w:p>
        </w:tc>
        <w:tc>
          <w:tcPr>
            <w:tcW w:type="dxa" w:w="6916"/>
            <w:shd w:val="clear" w:color="auto" w:fill="0F6E6E"/>
          </w:tcPr>
          <w:p>
            <w:pPr>
              <w:spacing w:after="40"/>
              <w:jc w:val="left"/>
            </w:pPr>
            <w:r>
              <w:rPr>
                <w:b/>
                <w:color w:val="FFFFFF"/>
                <w:sz w:val="16"/>
              </w:rPr>
              <w:t>Qué decidimos</w:t>
            </w:r>
          </w:p>
        </w:tc>
      </w:tr>
      <w:tr>
        <w:trPr>
          <w:cantSplit w:val="true"/>
        </w:trPr>
        <w:tc>
          <w:tcPr>
            <w:tcW w:type="dxa" w:w="2268"/>
          </w:tcPr>
          <w:p>
            <w:pPr>
              <w:spacing w:after="40"/>
              <w:jc w:val="left"/>
            </w:pPr>
            <w:r>
              <w:rPr>
                <w:sz w:val="16"/>
              </w:rPr>
              <w:t>Contexto</w:t>
            </w:r>
          </w:p>
        </w:tc>
        <w:tc>
          <w:tcPr>
            <w:tcW w:type="dxa" w:w="6916"/>
          </w:tcPr>
          <w:p>
            <w:pPr>
              <w:spacing w:after="40"/>
              <w:jc w:val="left"/>
            </w:pPr>
            <w:r>
              <w:rPr>
                <w:sz w:val="16"/>
              </w:rPr>
              <w:t>Somos cuatro personas, cada una con módulos propios. La web y la API cambian juntas y usan las mismas fórmulas del motor. La bitácora se escribe en la misma transacción que cada cambio y el saldo sale de los movimientos, así que todo vive en una sola base. RNF-13 exige módulos sin dependencias circulares</w:t>
            </w:r>
          </w:p>
        </w:tc>
      </w:tr>
      <w:tr>
        <w:trPr>
          <w:cantSplit w:val="true"/>
        </w:trPr>
        <w:tc>
          <w:tcPr>
            <w:tcW w:type="dxa" w:w="2268"/>
          </w:tcPr>
          <w:p>
            <w:pPr>
              <w:spacing w:after="40"/>
              <w:jc w:val="left"/>
            </w:pPr>
            <w:r>
              <w:rPr>
                <w:sz w:val="16"/>
              </w:rPr>
              <w:t>Decisión</w:t>
            </w:r>
          </w:p>
        </w:tc>
        <w:tc>
          <w:tcPr>
            <w:tcW w:type="dxa" w:w="6916"/>
          </w:tcPr>
          <w:p>
            <w:pPr>
              <w:spacing w:after="40"/>
              <w:jc w:val="left"/>
            </w:pPr>
            <w:r>
              <w:rPr>
                <w:sz w:val="16"/>
              </w:rPr>
              <w:t xml:space="preserve">Un monorepo con </w:t>
            </w:r>
            <w:r>
              <w:rPr>
                <w:rFonts w:ascii="Consolas" w:hAnsi="Consolas"/>
                <w:sz w:val="13"/>
              </w:rPr>
              <w:t>apps/web</w:t>
            </w:r>
            <w:r>
              <w:rPr>
                <w:sz w:val="16"/>
              </w:rPr>
              <w:t xml:space="preserve">, </w:t>
            </w:r>
            <w:r>
              <w:rPr>
                <w:rFonts w:ascii="Consolas" w:hAnsi="Consolas"/>
                <w:sz w:val="13"/>
              </w:rPr>
              <w:t>apps/api</w:t>
            </w:r>
            <w:r>
              <w:rPr>
                <w:sz w:val="16"/>
              </w:rPr>
              <w:t xml:space="preserve">, </w:t>
            </w:r>
            <w:r>
              <w:rPr>
                <w:rFonts w:ascii="Consolas" w:hAnsi="Consolas"/>
                <w:sz w:val="13"/>
              </w:rPr>
              <w:t>packages/shared</w:t>
            </w:r>
            <w:r>
              <w:rPr>
                <w:sz w:val="16"/>
              </w:rPr>
              <w:t xml:space="preserve"> (funciones puras de las dos apps), </w:t>
            </w:r>
            <w:r>
              <w:rPr>
                <w:rFonts w:ascii="Consolas" w:hAnsi="Consolas"/>
                <w:sz w:val="13"/>
              </w:rPr>
              <w:t>packages/ui-tokens</w:t>
            </w:r>
            <w:r>
              <w:rPr>
                <w:sz w:val="16"/>
              </w:rPr>
              <w:t xml:space="preserve"> (colores), </w:t>
            </w:r>
            <w:r>
              <w:rPr>
                <w:rFonts w:ascii="Consolas" w:hAnsi="Consolas"/>
                <w:sz w:val="13"/>
              </w:rPr>
              <w:t>prisma/</w:t>
            </w:r>
            <w:r>
              <w:rPr>
                <w:sz w:val="16"/>
              </w:rPr>
              <w:t xml:space="preserve"> e </w:t>
            </w:r>
            <w:r>
              <w:rPr>
                <w:rFonts w:ascii="Consolas" w:hAnsi="Consolas"/>
                <w:sz w:val="13"/>
              </w:rPr>
              <w:t>infra/</w:t>
            </w:r>
            <w:r>
              <w:rPr>
                <w:sz w:val="16"/>
              </w:rPr>
              <w:t xml:space="preserve">. La web solo habla con la API por HTTP y toma los tipos del contrato OpenAPI. En la API, un módulo por dominio, apilados en capas: </w:t>
            </w:r>
            <w:r>
              <w:rPr>
                <w:rFonts w:ascii="Consolas" w:hAnsi="Consolas"/>
                <w:sz w:val="13"/>
              </w:rPr>
              <w:t>importacion</w:t>
            </w:r>
            <w:r>
              <w:rPr>
                <w:sz w:val="16"/>
              </w:rPr>
              <w:t xml:space="preserve">; luego </w:t>
            </w:r>
            <w:r>
              <w:rPr>
                <w:rFonts w:ascii="Consolas" w:hAnsi="Consolas"/>
                <w:sz w:val="13"/>
              </w:rPr>
              <w:t>motor</w:t>
            </w:r>
            <w:r>
              <w:rPr>
                <w:sz w:val="16"/>
              </w:rPr>
              <w:t xml:space="preserve"> y </w:t>
            </w:r>
            <w:r>
              <w:rPr>
                <w:rFonts w:ascii="Consolas" w:hAnsi="Consolas"/>
                <w:sz w:val="13"/>
              </w:rPr>
              <w:t>turnos</w:t>
            </w:r>
            <w:r>
              <w:rPr>
                <w:sz w:val="16"/>
              </w:rPr>
              <w:t xml:space="preserve">; luego </w:t>
            </w:r>
            <w:r>
              <w:rPr>
                <w:rFonts w:ascii="Consolas" w:hAnsi="Consolas"/>
                <w:sz w:val="13"/>
              </w:rPr>
              <w:t>comprobantes</w:t>
            </w:r>
            <w:r>
              <w:rPr>
                <w:sz w:val="16"/>
              </w:rPr>
              <w:t xml:space="preserve"> e </w:t>
            </w:r>
            <w:r>
              <w:rPr>
                <w:rFonts w:ascii="Consolas" w:hAnsi="Consolas"/>
                <w:sz w:val="13"/>
              </w:rPr>
              <w:t>inventario</w:t>
            </w:r>
            <w:r>
              <w:rPr>
                <w:sz w:val="16"/>
              </w:rPr>
              <w:t xml:space="preserve">; luego </w:t>
            </w:r>
            <w:r>
              <w:rPr>
                <w:rFonts w:ascii="Consolas" w:hAnsi="Consolas"/>
                <w:sz w:val="13"/>
              </w:rPr>
              <w:t>acopios</w:t>
            </w:r>
            <w:r>
              <w:rPr>
                <w:sz w:val="16"/>
              </w:rPr>
              <w:t xml:space="preserve"> y </w:t>
            </w:r>
            <w:r>
              <w:rPr>
                <w:rFonts w:ascii="Consolas" w:hAnsi="Consolas"/>
                <w:sz w:val="13"/>
              </w:rPr>
              <w:t>catalogo</w:t>
            </w:r>
            <w:r>
              <w:rPr>
                <w:sz w:val="16"/>
              </w:rPr>
              <w:t>; y abajo los transversales (</w:t>
            </w:r>
            <w:r>
              <w:rPr>
                <w:rFonts w:ascii="Consolas" w:hAnsi="Consolas"/>
                <w:sz w:val="13"/>
              </w:rPr>
              <w:t>identidad</w:t>
            </w:r>
            <w:r>
              <w:rPr>
                <w:sz w:val="16"/>
              </w:rPr>
              <w:t xml:space="preserve">, </w:t>
            </w:r>
            <w:r>
              <w:rPr>
                <w:rFonts w:ascii="Consolas" w:hAnsi="Consolas"/>
                <w:sz w:val="13"/>
              </w:rPr>
              <w:t>auditoria</w:t>
            </w:r>
            <w:r>
              <w:rPr>
                <w:sz w:val="16"/>
              </w:rPr>
              <w:t xml:space="preserve">, </w:t>
            </w:r>
            <w:r>
              <w:rPr>
                <w:rFonts w:ascii="Consolas" w:hAnsi="Consolas"/>
                <w:sz w:val="13"/>
              </w:rPr>
              <w:t>notificaciones</w:t>
            </w:r>
            <w:r>
              <w:rPr>
                <w:sz w:val="16"/>
              </w:rPr>
              <w:t xml:space="preserve">, </w:t>
            </w:r>
            <w:r>
              <w:rPr>
                <w:rFonts w:ascii="Consolas" w:hAnsi="Consolas"/>
                <w:sz w:val="13"/>
              </w:rPr>
              <w:t>almacenamiento</w:t>
            </w:r>
            <w:r>
              <w:rPr>
                <w:sz w:val="16"/>
              </w:rPr>
              <w:t xml:space="preserve">, </w:t>
            </w:r>
            <w:r>
              <w:rPr>
                <w:rFonts w:ascii="Consolas" w:hAnsi="Consolas"/>
                <w:sz w:val="13"/>
              </w:rPr>
              <w:t>salud</w:t>
            </w:r>
            <w:r>
              <w:rPr>
                <w:sz w:val="16"/>
              </w:rPr>
              <w:t>). Cada módulo importa solo a los de abajo, y dependency-cruiser lo revisa en CI</w:t>
            </w:r>
          </w:p>
        </w:tc>
      </w:tr>
      <w:tr>
        <w:trPr>
          <w:cantSplit w:val="true"/>
        </w:trPr>
        <w:tc>
          <w:tcPr>
            <w:tcW w:type="dxa" w:w="2268"/>
          </w:tcPr>
          <w:p>
            <w:pPr>
              <w:spacing w:after="40"/>
              <w:jc w:val="left"/>
            </w:pPr>
            <w:r>
              <w:rPr>
                <w:sz w:val="16"/>
              </w:rPr>
              <w:t>Alternativa considerada</w:t>
            </w:r>
          </w:p>
        </w:tc>
        <w:tc>
          <w:tcPr>
            <w:tcW w:type="dxa" w:w="6916"/>
          </w:tcPr>
          <w:p>
            <w:pPr>
              <w:spacing w:after="40"/>
              <w:jc w:val="left"/>
            </w:pPr>
            <w:r>
              <w:rPr>
                <w:sz w:val="16"/>
              </w:rPr>
              <w:t>Organizar por capas técnicas, con carpetas globales de controladores, servicios y repositorios. También separar la web y la API en dos repositorios</w:t>
            </w:r>
          </w:p>
        </w:tc>
      </w:tr>
      <w:tr>
        <w:trPr>
          <w:cantSplit w:val="true"/>
        </w:trPr>
        <w:tc>
          <w:tcPr>
            <w:tcW w:type="dxa" w:w="2268"/>
          </w:tcPr>
          <w:p>
            <w:pPr>
              <w:spacing w:after="40"/>
              <w:jc w:val="left"/>
            </w:pPr>
            <w:r>
              <w:rPr>
                <w:sz w:val="16"/>
              </w:rPr>
              <w:t>Justificación</w:t>
            </w:r>
          </w:p>
        </w:tc>
        <w:tc>
          <w:tcPr>
            <w:tcW w:type="dxa" w:w="6916"/>
          </w:tcPr>
          <w:p>
            <w:pPr>
              <w:spacing w:after="40"/>
              <w:jc w:val="left"/>
            </w:pPr>
            <w:r>
              <w:rPr>
                <w:sz w:val="16"/>
              </w:rPr>
              <w:t>Cada módulo es un límite del dominio y casi siempre lo que una persona tiene asignado. La regla de dependencias la revisa una herramienta en cada PR. Las fórmulas se escriben una sola vez y la web muestra el mismo número que calcula la API. Por capas técnicas, las cuatro personas tocarían las mismas carpetas y nada impediría que el motor leyera tablas ajenas</w:t>
            </w:r>
          </w:p>
        </w:tc>
      </w:tr>
      <w:tr>
        <w:trPr>
          <w:cantSplit w:val="true"/>
        </w:trPr>
        <w:tc>
          <w:tcPr>
            <w:tcW w:type="dxa" w:w="2268"/>
          </w:tcPr>
          <w:p>
            <w:pPr>
              <w:spacing w:after="40"/>
              <w:jc w:val="left"/>
            </w:pPr>
            <w:r>
              <w:rPr>
                <w:sz w:val="16"/>
              </w:rPr>
              <w:t>Consecuencias</w:t>
            </w:r>
          </w:p>
        </w:tc>
        <w:tc>
          <w:tcPr>
            <w:tcW w:type="dxa" w:w="6916"/>
          </w:tcPr>
          <w:p>
            <w:pPr>
              <w:spacing w:after="40"/>
              <w:jc w:val="left"/>
            </w:pPr>
            <w:r>
              <w:rPr>
                <w:sz w:val="16"/>
              </w:rPr>
              <w:t xml:space="preserve">Facilita ubicar un cambio, medir su impacto y cambiar la web y la API en el mismo PR. Limita las llamadas hacia arriba: cuando hacen falta, se resuelven con un puerto en </w:t>
            </w:r>
            <w:r>
              <w:rPr>
                <w:rFonts w:ascii="Consolas" w:hAnsi="Consolas"/>
                <w:sz w:val="13"/>
              </w:rPr>
              <w:t>comun/</w:t>
            </w:r>
            <w:r>
              <w:rPr>
                <w:sz w:val="16"/>
              </w:rPr>
              <w:t xml:space="preserve"> (</w:t>
            </w:r>
            <w:r>
              <w:rPr>
                <w:rFonts w:ascii="Consolas" w:hAnsi="Consolas"/>
                <w:sz w:val="13"/>
              </w:rPr>
              <w:t>VerificadorUbicaciones</w:t>
            </w:r>
            <w:r>
              <w:rPr>
                <w:sz w:val="16"/>
              </w:rPr>
              <w:t xml:space="preserve">, </w:t>
            </w:r>
            <w:r>
              <w:rPr>
                <w:rFonts w:ascii="Consolas" w:hAnsi="Consolas"/>
                <w:sz w:val="13"/>
              </w:rPr>
              <w:t>ProveedorIdentidad</w:t>
            </w:r>
            <w:r>
              <w:rPr>
                <w:sz w:val="16"/>
              </w:rPr>
              <w:t xml:space="preserve">). Todo corre en un proceso. Puede requerir ajustes: </w:t>
            </w:r>
            <w:r>
              <w:rPr>
                <w:rFonts w:ascii="Consolas" w:hAnsi="Consolas"/>
                <w:sz w:val="13"/>
              </w:rPr>
              <w:t>motor</w:t>
            </w:r>
            <w:r>
              <w:rPr>
                <w:sz w:val="16"/>
              </w:rPr>
              <w:t xml:space="preserve"> ya depende de siete módulos y convendría partirlo si sigue creciendo, y la cola de correo solo es segura con una instancia de la API</w:t>
            </w:r>
          </w:p>
        </w:tc>
      </w:tr>
    </w:tbl>
    <w:p>
      <w:pPr>
        <w:spacing w:after="40"/>
      </w:pPr>
    </w:p>
    <w:p>
      <w:pPr>
        <w:pStyle w:val="Ttulo1"/>
      </w:pPr>
      <w:r>
        <w:t>2. Diagrama de comportamiento: estados de la donación</w:t>
      </w:r>
    </w:p>
    <w:p>
      <w:pPr>
        <w:keepNext/>
        <w:spacing w:after="40"/>
        <w:jc w:val="center"/>
      </w:pPr>
      <w:r>
        <w:drawing>
          <wp:inline xmlns:a="http://schemas.openxmlformats.org/drawingml/2006/main" xmlns:pic="http://schemas.openxmlformats.org/drawingml/2006/picture">
            <wp:extent cx="5831840" cy="4524703"/>
            <wp:docPr id="3" name="Picture 3"/>
            <wp:cNvGraphicFramePr>
              <a:graphicFrameLocks noChangeAspect="1"/>
            </wp:cNvGraphicFramePr>
            <a:graphic>
              <a:graphicData uri="http://schemas.openxmlformats.org/drawingml/2006/picture">
                <pic:pic>
                  <pic:nvPicPr>
                    <pic:cNvPr id="0" name="comportamiento-01-ciclo-de-vida-de-la-donacion.png"/>
                    <pic:cNvPicPr/>
                  </pic:nvPicPr>
                  <pic:blipFill>
                    <a:blip r:embed="rId29"/>
                    <a:stretch>
                      <a:fillRect/>
                    </a:stretch>
                  </pic:blipFill>
                  <pic:spPr>
                    <a:xfrm>
                      <a:off x="0" y="0"/>
                      <a:ext cx="5831840" cy="4524703"/>
                    </a:xfrm>
                    <a:prstGeom prst="rect"/>
                  </pic:spPr>
                </pic:pic>
              </a:graphicData>
            </a:graphic>
          </wp:inline>
        </w:drawing>
      </w:r>
    </w:p>
    <w:p>
      <w:pPr>
        <w:jc w:val="center"/>
      </w:pPr>
      <w:r>
        <w:rPr>
          <w:b/>
          <w:color w:val="57534E"/>
          <w:sz w:val="18"/>
        </w:rPr>
        <w:t xml:space="preserve">Figura 3. </w:t>
      </w:r>
      <w:r>
        <w:rPr>
          <w:color w:val="57534E"/>
          <w:sz w:val="18"/>
        </w:rPr>
        <w:t>Ciclo de vida de una donación: PREPARADO, PENDIENTE, CONCILIADO, RECHAZADO y CANCELADO, con el evento, la guarda y el actor de cada transición.</w:t>
      </w:r>
    </w:p>
    <w:p>
      <w:r>
        <w:t xml:space="preserve">El diagrama sigue a una donación (tabla </w:t>
      </w:r>
      <w:r>
        <w:rPr>
          <w:rFonts w:ascii="Consolas" w:hAnsi="Consolas"/>
          <w:sz w:val="19"/>
        </w:rPr>
        <w:t>comprobante</w:t>
      </w:r>
      <w:r>
        <w:t xml:space="preserve">, enum </w:t>
      </w:r>
      <w:r>
        <w:rPr>
          <w:rFonts w:ascii="Consolas" w:hAnsi="Consolas"/>
          <w:sz w:val="19"/>
        </w:rPr>
        <w:t>EstadoComprobante</w:t>
      </w:r>
      <w:r>
        <w:t>) desde que el Donador la prepara en el portal hasta que un Auditor la concilia contra las entradas de inventario o la rechaza. Corresponde a la historia HU-006 («Comprobar que mi donación llegó») y a los requerimientos RF-CMP-001B (preparar), RF-CMP-001C (recibir), RF-CMP-004 (conciliar), RF-CMP-005 (rechazar) y RF-CMP-006 (seguimiento por folio). Las guardas son reglas de negocio que la API hace cumplir: un Donador tiene como máximo cinco donaciones preparadas, una preparada vence a los siete días, solo el Operador asignado al acopio la recibe y nadie concilia sin una entrada vinculada. Elegimos un diagrama de estados porque en la donación intervienen cuatro actores (Donador, Operador, Auditor y una tarea programada), y lo que cada uno puede hacer depende del estado en que la encuentra. En un diagrama de actividades esas reglas quedarían repartidas entre carriles, y costaría ver que un rechazo se puede revertir y una conciliación no.</w:t>
      </w:r>
    </w:p>
    <w:p>
      <w:r>
        <w:t xml:space="preserve">El modelo corresponde a lo implementado. Cada transición tiene un método del módulo </w:t>
      </w:r>
      <w:r>
        <w:rPr>
          <w:rFonts w:ascii="Consolas" w:hAnsi="Consolas"/>
          <w:sz w:val="19"/>
        </w:rPr>
        <w:t>comprobantes</w:t>
      </w:r>
      <w:r>
        <w:t>:</w:t>
      </w:r>
    </w:p>
    <w:tbl>
      <w:tblPr>
        <w:tblStyle w:val="Tablaconcuadrcula"/>
        <w:tblW w:type="auto" w:w="0"/>
        <w:jc w:val="center"/>
        <w:tblLook w:firstColumn="1" w:firstRow="1" w:lastColumn="0" w:lastRow="0" w:noHBand="0" w:noVBand="1" w:val="04A0"/>
      </w:tblPr>
      <w:tblGrid>
        <w:gridCol w:w="3061"/>
        <w:gridCol w:w="3061"/>
        <w:gridCol w:w="3061"/>
      </w:tblGrid>
      <w:tr>
        <w:trPr>
          <w:cantSplit w:val="true"/>
          <w:tblHeader w:val="true"/>
        </w:trPr>
        <w:tc>
          <w:tcPr>
            <w:tcW w:type="dxa" w:w="3061"/>
            <w:shd w:val="clear" w:color="auto" w:fill="0F6E6E"/>
          </w:tcPr>
          <w:p>
            <w:pPr>
              <w:spacing w:after="40"/>
              <w:jc w:val="left"/>
            </w:pPr>
            <w:r>
              <w:rPr>
                <w:b/>
                <w:color w:val="FFFFFF"/>
                <w:sz w:val="16"/>
              </w:rPr>
              <w:t>Transición</w:t>
            </w:r>
          </w:p>
        </w:tc>
        <w:tc>
          <w:tcPr>
            <w:tcW w:type="dxa" w:w="3061"/>
            <w:shd w:val="clear" w:color="auto" w:fill="0F6E6E"/>
          </w:tcPr>
          <w:p>
            <w:pPr>
              <w:spacing w:after="40"/>
              <w:jc w:val="left"/>
            </w:pPr>
            <w:r>
              <w:rPr>
                <w:b/>
                <w:color w:val="FFFFFF"/>
                <w:sz w:val="16"/>
              </w:rPr>
              <w:t>Quién</w:t>
            </w:r>
          </w:p>
        </w:tc>
        <w:tc>
          <w:tcPr>
            <w:tcW w:type="dxa" w:w="3061"/>
            <w:shd w:val="clear" w:color="auto" w:fill="0F6E6E"/>
          </w:tcPr>
          <w:p>
            <w:pPr>
              <w:spacing w:after="40"/>
              <w:jc w:val="left"/>
            </w:pPr>
            <w:r>
              <w:rPr>
                <w:b/>
                <w:color w:val="FFFFFF"/>
                <w:sz w:val="16"/>
              </w:rPr>
              <w:t>Método</w:t>
            </w:r>
          </w:p>
        </w:tc>
      </w:tr>
      <w:tr>
        <w:trPr>
          <w:cantSplit w:val="true"/>
        </w:trPr>
        <w:tc>
          <w:tcPr>
            <w:tcW w:type="dxa" w:w="3061"/>
          </w:tcPr>
          <w:p>
            <w:pPr>
              <w:spacing w:after="40"/>
              <w:jc w:val="left"/>
            </w:pPr>
            <w:r>
              <w:rPr>
                <w:sz w:val="16"/>
              </w:rPr>
              <w:t>inicio → PREPARADO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DonacionesService.crear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Donador</w:t>
            </w:r>
          </w:p>
        </w:tc>
        <w:tc>
          <w:tcPr>
            <w:tcW w:type="dxa" w:w="3061"/>
          </w:tcPr>
          <w:p>
            <w:pPr>
              <w:spacing w:after="40"/>
              <w:jc w:val="left"/>
            </w:pPr>
            <w:r>
              <w:rPr>
                <w:rFonts w:ascii="Consolas" w:hAnsi="Consolas"/>
                <w:sz w:val="13"/>
              </w:rPr>
              <w:t>DonacionesService.cancelar</w:t>
            </w:r>
          </w:p>
        </w:tc>
      </w:tr>
      <w:tr>
        <w:trPr>
          <w:cantSplit w:val="true"/>
        </w:trPr>
        <w:tc>
          <w:tcPr>
            <w:tcW w:type="dxa" w:w="3061"/>
          </w:tcPr>
          <w:p>
            <w:pPr>
              <w:spacing w:after="40"/>
              <w:jc w:val="left"/>
            </w:pPr>
            <w:r>
              <w:rPr>
                <w:sz w:val="16"/>
              </w:rPr>
              <w:t>PREPARADO → CANCELADO</w:t>
            </w:r>
          </w:p>
        </w:tc>
        <w:tc>
          <w:tcPr>
            <w:tcW w:type="dxa" w:w="3061"/>
          </w:tcPr>
          <w:p>
            <w:pPr>
              <w:spacing w:after="40"/>
              <w:jc w:val="left"/>
            </w:pPr>
            <w:r>
              <w:rPr>
                <w:sz w:val="16"/>
              </w:rPr>
              <w:t xml:space="preserve">Tarea </w:t>
            </w:r>
            <w:r>
              <w:rPr>
                <w:rFonts w:ascii="Consolas" w:hAnsi="Consolas"/>
                <w:sz w:val="13"/>
              </w:rPr>
              <w:t>preparadas-vencidas</w:t>
            </w:r>
            <w:r>
              <w:rPr>
                <w:sz w:val="16"/>
              </w:rPr>
              <w:t>, 00:15 hora de Colombia</w:t>
            </w:r>
          </w:p>
        </w:tc>
        <w:tc>
          <w:tcPr>
            <w:tcW w:type="dxa" w:w="3061"/>
          </w:tcPr>
          <w:p>
            <w:pPr>
              <w:spacing w:after="40"/>
              <w:jc w:val="left"/>
            </w:pPr>
            <w:r>
              <w:rPr>
                <w:rFonts w:ascii="Consolas" w:hAnsi="Consolas"/>
                <w:sz w:val="13"/>
              </w:rPr>
              <w:t>TareasCustodiaService.cancelarVencidas</w:t>
            </w:r>
          </w:p>
        </w:tc>
      </w:tr>
      <w:tr>
        <w:trPr>
          <w:cantSplit w:val="true"/>
        </w:trPr>
        <w:tc>
          <w:tcPr>
            <w:tcW w:type="dxa" w:w="3061"/>
          </w:tcPr>
          <w:p>
            <w:pPr>
              <w:spacing w:after="40"/>
              <w:jc w:val="left"/>
            </w:pPr>
            <w:r>
              <w:rPr>
                <w:sz w:val="16"/>
              </w:rPr>
              <w:t>PREPARADO → PENDIENTE</w:t>
            </w:r>
          </w:p>
        </w:tc>
        <w:tc>
          <w:tcPr>
            <w:tcW w:type="dxa" w:w="3061"/>
          </w:tcPr>
          <w:p>
            <w:pPr>
              <w:spacing w:after="40"/>
              <w:jc w:val="left"/>
            </w:pPr>
            <w:r>
              <w:rPr>
                <w:sz w:val="16"/>
              </w:rPr>
              <w:t>Operador del acopio</w:t>
            </w:r>
          </w:p>
        </w:tc>
        <w:tc>
          <w:tcPr>
            <w:tcW w:type="dxa" w:w="3061"/>
          </w:tcPr>
          <w:p>
            <w:pPr>
              <w:spacing w:after="40"/>
              <w:jc w:val="left"/>
            </w:pPr>
            <w:r>
              <w:rPr>
                <w:rFonts w:ascii="Consolas" w:hAnsi="Consolas"/>
                <w:sz w:val="13"/>
              </w:rPr>
              <w:t>RecepcionService.recibir</w:t>
            </w:r>
          </w:p>
        </w:tc>
      </w:tr>
      <w:tr>
        <w:trPr>
          <w:cantSplit w:val="true"/>
        </w:trPr>
        <w:tc>
          <w:tcPr>
            <w:tcW w:type="dxa" w:w="3061"/>
          </w:tcPr>
          <w:p>
            <w:pPr>
              <w:spacing w:after="40"/>
              <w:jc w:val="left"/>
            </w:pPr>
            <w:r>
              <w:rPr>
                <w:sz w:val="16"/>
              </w:rPr>
              <w:t>PREPARADO o PENDIENTE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ConciliacionService.vincular</w:t>
            </w:r>
          </w:p>
        </w:tc>
      </w:tr>
      <w:tr>
        <w:trPr>
          <w:cantSplit w:val="true"/>
        </w:trPr>
        <w:tc>
          <w:tcPr>
            <w:tcW w:type="dxa" w:w="3061"/>
          </w:tcPr>
          <w:p>
            <w:pPr>
              <w:spacing w:after="40"/>
              <w:jc w:val="left"/>
            </w:pPr>
            <w:r>
              <w:rPr>
                <w:sz w:val="16"/>
              </w:rPr>
              <w:t>PENDIENTE → CONCILIADO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ConciliacionService.conciliar</w:t>
            </w:r>
          </w:p>
        </w:tc>
      </w:tr>
      <w:tr>
        <w:trPr>
          <w:cantSplit w:val="true"/>
        </w:trPr>
        <w:tc>
          <w:tcPr>
            <w:tcW w:type="dxa" w:w="3061"/>
          </w:tcPr>
          <w:p>
            <w:pPr>
              <w:spacing w:after="40"/>
              <w:jc w:val="left"/>
            </w:pPr>
            <w:r>
              <w:rPr>
                <w:sz w:val="16"/>
              </w:rPr>
              <w:t>PENDIENTE → RECHAZADO</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ConciliacionService.rechazar</w:t>
            </w:r>
          </w:p>
        </w:tc>
      </w:tr>
      <w:tr>
        <w:trPr>
          <w:cantSplit w:val="true"/>
        </w:trPr>
        <w:tc>
          <w:tcPr>
            <w:tcW w:type="dxa" w:w="3061"/>
          </w:tcPr>
          <w:p>
            <w:pPr>
              <w:spacing w:after="40"/>
              <w:jc w:val="left"/>
            </w:pPr>
            <w:r>
              <w:rPr>
                <w:sz w:val="16"/>
              </w:rPr>
              <w:t>RECHAZADO → PENDIENTE</w:t>
            </w:r>
          </w:p>
        </w:tc>
        <w:tc>
          <w:tcPr>
            <w:tcW w:type="dxa" w:w="3061"/>
          </w:tcPr>
          <w:p>
            <w:pPr>
              <w:spacing w:after="40"/>
              <w:jc w:val="left"/>
            </w:pPr>
            <w:r>
              <w:rPr>
                <w:sz w:val="16"/>
              </w:rPr>
              <w:t>Auditor o Admin</w:t>
            </w:r>
          </w:p>
        </w:tc>
        <w:tc>
          <w:tcPr>
            <w:tcW w:type="dxa" w:w="3061"/>
          </w:tcPr>
          <w:p>
            <w:pPr>
              <w:spacing w:after="40"/>
              <w:jc w:val="left"/>
            </w:pPr>
            <w:r>
              <w:rPr>
                <w:rFonts w:ascii="Consolas" w:hAnsi="Consolas"/>
                <w:sz w:val="13"/>
              </w:rPr>
              <w:t>ConciliacionService.revertirRechazo</w:t>
            </w:r>
          </w:p>
        </w:tc>
      </w:tr>
    </w:tbl>
    <w:p>
      <w:pPr>
        <w:spacing w:after="40"/>
      </w:pPr>
    </w:p>
    <w:p>
      <w:r>
        <w:t xml:space="preserve">Cada cambio de estado exige el estado anterior en el mismo </w:t>
      </w:r>
      <w:r>
        <w:rPr>
          <w:rFonts w:ascii="Consolas" w:hAnsi="Consolas"/>
          <w:sz w:val="19"/>
        </w:rPr>
        <w:t>UPDATE</w:t>
      </w:r>
      <w:r>
        <w:t xml:space="preserve">. Si el Operador recibe un folio en el mismo instante en que la tarea diaria lo cancela, una de las dos operaciones ya no encuentra la fila en </w:t>
      </w:r>
      <w:r>
        <w:rPr>
          <w:rFonts w:ascii="Consolas" w:hAnsi="Consolas"/>
          <w:sz w:val="19"/>
        </w:rPr>
        <w:t>PREPARADO</w:t>
      </w:r>
      <w:r>
        <w:t xml:space="preserve"> y no cambia nada. La nota completa está en </w:t>
      </w:r>
      <w:r>
        <w:t>comportamiento.md</w:t>
      </w:r>
      <w:r>
        <w:t>.</w:t>
      </w:r>
    </w:p>
    <w:p>
      <w:pPr>
        <w:pStyle w:val="Ttulo1"/>
      </w:pPr>
      <w:r>
        <w:t>3. Bonificación: productor y consumidor con la cola de correo</w:t>
      </w:r>
    </w:p>
    <w:p>
      <w:pPr>
        <w:pStyle w:val="Ttulo2"/>
      </w:pPr>
      <w:r>
        <w:t>Problema que resuelve</w:t>
      </w:r>
    </w:p>
    <w:p>
      <w:r>
        <w:t>Varias operaciones mandan un correo: invitar a un usuario, restablecer una contraseña, confirmar la cuenta de un Donador, rechazar una donación y recordar un turno. Si el correo se enviara dentro de la petición, un servidor SMTP lento haría esperar a quien invita, y uno caído haría fallar la invitación aunque el usuario ya estuviera creado. Además, si la operación fallara después de enviar, el correo ya habría salido con un enlace que no sirve.</w:t>
      </w:r>
    </w:p>
    <w:p>
      <w:pPr>
        <w:pStyle w:val="Ttulo2"/>
      </w:pPr>
      <w:r>
        <w:t>Componentes y cómo se comunican</w:t>
      </w:r>
    </w:p>
    <w:p>
      <w:pPr>
        <w:pStyle w:val="Vineta"/>
      </w:pPr>
      <w:r>
        <w:t xml:space="preserve">•  </w:t>
      </w:r>
      <w:r>
        <w:t xml:space="preserve">Productores: </w:t>
      </w:r>
      <w:r>
        <w:rPr>
          <w:rFonts w:ascii="Consolas" w:hAnsi="Consolas"/>
          <w:sz w:val="19"/>
        </w:rPr>
        <w:t>UsuariosService</w:t>
      </w:r>
      <w:r>
        <w:t xml:space="preserve"> (invitaciones y restablecimientos), </w:t>
      </w:r>
      <w:r>
        <w:rPr>
          <w:rFonts w:ascii="Consolas" w:hAnsi="Consolas"/>
          <w:sz w:val="19"/>
        </w:rPr>
        <w:t>DonadorService</w:t>
      </w:r>
      <w:r>
        <w:t xml:space="preserve"> (confirmación de la cuenta), </w:t>
      </w:r>
      <w:r>
        <w:rPr>
          <w:rFonts w:ascii="Consolas" w:hAnsi="Consolas"/>
          <w:sz w:val="19"/>
        </w:rPr>
        <w:t>ConciliacionService</w:t>
      </w:r>
      <w:r>
        <w:t xml:space="preserve"> (rechazo de una donación) y los avisos de </w:t>
      </w:r>
      <w:r>
        <w:rPr>
          <w:rFonts w:ascii="Consolas" w:hAnsi="Consolas"/>
          <w:sz w:val="19"/>
        </w:rPr>
        <w:t>turnos</w:t>
      </w:r>
      <w:r>
        <w:t xml:space="preserve">. Cada uno llama a </w:t>
      </w:r>
      <w:r>
        <w:rPr>
          <w:rFonts w:ascii="Consolas" w:hAnsi="Consolas"/>
          <w:sz w:val="19"/>
        </w:rPr>
        <w:t>NotificacionService.encolar</w:t>
      </w:r>
      <w:r>
        <w:t xml:space="preserve"> dentro de la misma transacción que la operación. Si la operación se deshace, el correo tampoco queda en la cola.</w:t>
      </w:r>
    </w:p>
    <w:p>
      <w:pPr>
        <w:pStyle w:val="Vineta"/>
      </w:pPr>
      <w:r>
        <w:t xml:space="preserve">•  </w:t>
      </w:r>
      <w:r>
        <w:t xml:space="preserve">Cola: la tabla </w:t>
      </w:r>
      <w:r>
        <w:rPr>
          <w:rFonts w:ascii="Consolas" w:hAnsi="Consolas"/>
          <w:sz w:val="19"/>
        </w:rPr>
        <w:t>correo_saliente</w:t>
      </w:r>
      <w:r>
        <w:t xml:space="preserve">, con estado </w:t>
      </w:r>
      <w:r>
        <w:rPr>
          <w:rFonts w:ascii="Consolas" w:hAnsi="Consolas"/>
          <w:sz w:val="19"/>
        </w:rPr>
        <w:t>PENDIENTE</w:t>
      </w:r>
      <w:r>
        <w:t xml:space="preserve">, </w:t>
      </w:r>
      <w:r>
        <w:rPr>
          <w:rFonts w:ascii="Consolas" w:hAnsi="Consolas"/>
          <w:sz w:val="19"/>
        </w:rPr>
        <w:t>ENVIADO</w:t>
      </w:r>
      <w:r>
        <w:t xml:space="preserve"> o </w:t>
      </w:r>
      <w:r>
        <w:rPr>
          <w:rFonts w:ascii="Consolas" w:hAnsi="Consolas"/>
          <w:sz w:val="19"/>
        </w:rPr>
        <w:t>FALLIDO</w:t>
      </w:r>
      <w:r>
        <w:t xml:space="preserve">, el número de intentos, el último error y </w:t>
      </w:r>
      <w:r>
        <w:rPr>
          <w:rFonts w:ascii="Consolas" w:hAnsi="Consolas"/>
          <w:sz w:val="19"/>
        </w:rPr>
        <w:t>enviar_despues_de</w:t>
      </w:r>
      <w:r>
        <w:t>. Tiene un índice por estado y fecha, que es la consulta del consumidor.</w:t>
      </w:r>
    </w:p>
    <w:p>
      <w:pPr>
        <w:pStyle w:val="Vineta"/>
      </w:pPr>
      <w:r>
        <w:t xml:space="preserve">•  </w:t>
      </w:r>
      <w:r>
        <w:t xml:space="preserve">Consumidor: </w:t>
      </w:r>
      <w:r>
        <w:rPr>
          <w:rFonts w:ascii="Consolas" w:hAnsi="Consolas"/>
          <w:sz w:val="19"/>
        </w:rPr>
        <w:t>NotificacionService.procesarCola</w:t>
      </w:r>
      <w:r>
        <w:t xml:space="preserve">, una tarea </w:t>
      </w:r>
      <w:r>
        <w:rPr>
          <w:rFonts w:ascii="Consolas" w:hAnsi="Consolas"/>
          <w:sz w:val="19"/>
        </w:rPr>
        <w:t>@Cron</w:t>
      </w:r>
      <w:r>
        <w:t xml:space="preserve"> que corre cada minuto. Toma hasta 50 correos listos, del más viejo al más nuevo, y los envía por SMTP. Si uno falla, lo marca </w:t>
      </w:r>
      <w:r>
        <w:rPr>
          <w:rFonts w:ascii="Consolas" w:hAnsi="Consolas"/>
          <w:sz w:val="19"/>
        </w:rPr>
        <w:t>FALLIDO</w:t>
      </w:r>
      <w:r>
        <w:t xml:space="preserve"> y lo reprograma con espera exponencial (1, 2, 4, 8 minutos y hasta dos horas), hasta ocho intentos.</w:t>
      </w:r>
    </w:p>
    <w:p>
      <w:pPr>
        <w:pStyle w:val="Vineta"/>
      </w:pPr>
      <w:r>
        <w:t xml:space="preserve">•  </w:t>
      </w:r>
      <w:r>
        <w:t>Proveedor: Resend, por SMTP (</w:t>
      </w:r>
      <w:r>
        <w:rPr>
          <w:rFonts w:ascii="Consolas" w:hAnsi="Consolas"/>
          <w:sz w:val="19"/>
        </w:rPr>
        <w:t>smtp.resend.com</w:t>
      </w:r>
      <w:r>
        <w:t xml:space="preserve">, puerto 465 con TLS) y con el remitente </w:t>
      </w:r>
      <w:r>
        <w:rPr>
          <w:rFonts w:ascii="Consolas" w:hAnsi="Consolas"/>
          <w:sz w:val="19"/>
        </w:rPr>
        <w:t>no-reply@josephqaz.dev</w:t>
      </w:r>
      <w:r>
        <w:t>. La API no usa el SDK de Resend; cambiar de proveedor es cambiar variables de entorno.</w:t>
      </w:r>
    </w:p>
    <w:p>
      <w:r>
        <w:t>Productores y consumidor no se llaman entre sí. Solo comparten la tabla, así que la petición responde en cuanto la transacción confirma y el envío ocurre después, a su propio ritmo.</w:t>
      </w:r>
    </w:p>
    <w:p>
      <w:pPr>
        <w:pStyle w:val="Ttulo2"/>
      </w:pPr>
      <w:r>
        <w:t>Código y evidencia</w:t>
      </w:r>
    </w:p>
    <w:p>
      <w:pPr>
        <w:pStyle w:val="Vineta"/>
      </w:pPr>
      <w:r>
        <w:t xml:space="preserve">•  </w:t>
      </w:r>
      <w:r>
        <w:t xml:space="preserve">Productor: </w:t>
      </w:r>
      <w:r>
        <w:rPr>
          <w:rFonts w:ascii="Consolas" w:hAnsi="Consolas"/>
          <w:sz w:val="19"/>
        </w:rPr>
        <w:t>apps/api/src/modulos/notificaciones/notificacion.service.ts</w:t>
      </w:r>
      <w:r>
        <w:t xml:space="preserve">, método </w:t>
      </w:r>
      <w:r>
        <w:rPr>
          <w:rFonts w:ascii="Consolas" w:hAnsi="Consolas"/>
          <w:sz w:val="19"/>
        </w:rPr>
        <w:t>encolar</w:t>
      </w:r>
      <w:r>
        <w:t xml:space="preserve"> (línea 56). Un ejemplo de uso está en </w:t>
      </w:r>
      <w:r>
        <w:rPr>
          <w:rFonts w:ascii="Consolas" w:hAnsi="Consolas"/>
          <w:sz w:val="19"/>
        </w:rPr>
        <w:t>modulos/identidad/usuarios/usuarios.service.ts</w:t>
      </w:r>
      <w:r>
        <w:t>, línea 131.</w:t>
      </w:r>
    </w:p>
    <w:p>
      <w:pPr>
        <w:pStyle w:val="Vineta"/>
      </w:pPr>
      <w:r>
        <w:t xml:space="preserve">•  </w:t>
      </w:r>
      <w:r>
        <w:t xml:space="preserve">Consumidor: el mismo archivo, </w:t>
      </w:r>
      <w:r>
        <w:rPr>
          <w:rFonts w:ascii="Consolas" w:hAnsi="Consolas"/>
          <w:sz w:val="19"/>
        </w:rPr>
        <w:t>procesarCola</w:t>
      </w:r>
      <w:r>
        <w:t xml:space="preserve"> (líneas 62 a 79) y </w:t>
      </w:r>
      <w:r>
        <w:rPr>
          <w:rFonts w:ascii="Consolas" w:hAnsi="Consolas"/>
          <w:sz w:val="19"/>
        </w:rPr>
        <w:t>enviar</w:t>
      </w:r>
      <w:r>
        <w:t xml:space="preserve"> (líneas 81 a 114).</w:t>
      </w:r>
    </w:p>
    <w:p>
      <w:pPr>
        <w:pStyle w:val="Vineta"/>
      </w:pPr>
      <w:r>
        <w:t xml:space="preserve">•  </w:t>
      </w:r>
      <w:r>
        <w:t xml:space="preserve">Cola: </w:t>
      </w:r>
      <w:r>
        <w:rPr>
          <w:rFonts w:ascii="Consolas" w:hAnsi="Consolas"/>
          <w:sz w:val="19"/>
        </w:rPr>
        <w:t>apps/api/src/modulos/notificaciones/dao/correo-saliente.dao.ts</w:t>
      </w:r>
      <w:r>
        <w:t xml:space="preserve"> y el modelo </w:t>
      </w:r>
      <w:r>
        <w:rPr>
          <w:rFonts w:ascii="Consolas" w:hAnsi="Consolas"/>
          <w:sz w:val="19"/>
        </w:rPr>
        <w:t>CorreoSaliente</w:t>
      </w:r>
      <w:r>
        <w:t xml:space="preserve"> en </w:t>
      </w:r>
      <w:r>
        <w:rPr>
          <w:rFonts w:ascii="Consolas" w:hAnsi="Consolas"/>
          <w:sz w:val="19"/>
        </w:rPr>
        <w:t>prisma/schema.prisma</w:t>
      </w:r>
      <w:r>
        <w:t>.</w:t>
      </w:r>
    </w:p>
    <w:p>
      <w:pPr>
        <w:pStyle w:val="Vineta"/>
      </w:pPr>
      <w:r>
        <w:t xml:space="preserve">•  </w:t>
      </w:r>
      <w:r>
        <w:t>Pruebas de integración contra PostgreSQL (</w:t>
      </w:r>
      <w:r>
        <w:rPr>
          <w:rFonts w:ascii="Consolas" w:hAnsi="Consolas"/>
          <w:sz w:val="19"/>
        </w:rPr>
        <w:t>src/pruebas-integracion/notificaciones.int.test.ts</w:t>
      </w:r>
      <w:r>
        <w:t xml:space="preserve">): con el SMTP arriba el correo queda </w:t>
      </w:r>
      <w:r>
        <w:rPr>
          <w:rFonts w:ascii="Consolas" w:hAnsi="Consolas"/>
          <w:sz w:val="19"/>
        </w:rPr>
        <w:t>ENVIADO</w:t>
      </w:r>
      <w:r>
        <w:t xml:space="preserve">; con el SMTP caído queda </w:t>
      </w:r>
      <w:r>
        <w:rPr>
          <w:rFonts w:ascii="Consolas" w:hAnsi="Consolas"/>
          <w:sz w:val="19"/>
        </w:rPr>
        <w:t>FALLIDO</w:t>
      </w:r>
      <w:r>
        <w:t xml:space="preserve">, espera y sale solo cuando vuelve; después del máximo de intentos no se reintenta; y con </w:t>
      </w:r>
      <w:r>
        <w:rPr>
          <w:rFonts w:ascii="Consolas" w:hAnsi="Consolas"/>
          <w:sz w:val="19"/>
        </w:rPr>
        <w:t>CORREO_ACTIVO=false</w:t>
      </w:r>
      <w:r>
        <w:t xml:space="preserve"> no se encola nada.</w:t>
      </w:r>
    </w:p>
    <w:p>
      <w:pPr>
        <w:pStyle w:val="Vineta"/>
      </w:pPr>
      <w:r>
        <w:t xml:space="preserve">•  </w:t>
      </w:r>
      <w:r>
        <w:t xml:space="preserve">Prueba real con Resend, el 30 de octubre en la API local: un registro de Donador para </w:t>
      </w:r>
      <w:r>
        <w:rPr>
          <w:rFonts w:ascii="Consolas" w:hAnsi="Consolas"/>
          <w:sz w:val="19"/>
        </w:rPr>
        <w:t>contacto@josephqaz.dev</w:t>
      </w:r>
      <w:r>
        <w:t xml:space="preserve"> respondió 202 de inmediato y dejó el correo de confirmación en la cola a las 05:50:11. El consumidor lo tomó en su siguiente pasada y Resend lo aceptó a las 05:51:01, en el primer intento. El correo llegó a la bandeja desde </w:t>
      </w:r>
      <w:r>
        <w:rPr>
          <w:rFonts w:ascii="Consolas" w:hAnsi="Consolas"/>
          <w:sz w:val="19"/>
        </w:rPr>
        <w:t>no-reply@josephqaz.dev</w:t>
      </w:r>
      <w:r>
        <w:t>.</w:t>
      </w:r>
    </w:p>
    <w:p>
      <w:pPr>
        <w:keepNext/>
        <w:spacing w:after="40"/>
        <w:jc w:val="center"/>
      </w:pPr>
      <w:r>
        <w:drawing>
          <wp:inline xmlns:a="http://schemas.openxmlformats.org/drawingml/2006/main" xmlns:pic="http://schemas.openxmlformats.org/drawingml/2006/picture">
            <wp:extent cx="5831840" cy="1380579"/>
            <wp:docPr id="4" name="Picture 4"/>
            <wp:cNvGraphicFramePr>
              <a:graphicFrameLocks noChangeAspect="1"/>
            </wp:cNvGraphicFramePr>
            <a:graphic>
              <a:graphicData uri="http://schemas.openxmlformats.org/drawingml/2006/picture">
                <pic:pic>
                  <pic:nvPicPr>
                    <pic:cNvPr id="0" name="correo-saliente-enviado.png"/>
                    <pic:cNvPicPr/>
                  </pic:nvPicPr>
                  <pic:blipFill>
                    <a:blip r:embed="rId30"/>
                    <a:stretch>
                      <a:fillRect/>
                    </a:stretch>
                  </pic:blipFill>
                  <pic:spPr>
                    <a:xfrm>
                      <a:off x="0" y="0"/>
                      <a:ext cx="5831840" cy="1380579"/>
                    </a:xfrm>
                    <a:prstGeom prst="rect"/>
                  </pic:spPr>
                </pic:pic>
              </a:graphicData>
            </a:graphic>
          </wp:inline>
        </w:drawing>
      </w:r>
    </w:p>
    <w:p>
      <w:pPr>
        <w:jc w:val="center"/>
      </w:pPr>
      <w:r>
        <w:rPr>
          <w:b/>
          <w:color w:val="57534E"/>
          <w:sz w:val="18"/>
        </w:rPr>
        <w:t xml:space="preserve">Figura 4. </w:t>
      </w:r>
      <w:r>
        <w:rPr>
          <w:color w:val="57534E"/>
          <w:sz w:val="18"/>
        </w:rPr>
        <w:t>La fila de correo_saliente después del envío: estado ENVIADO, un intento y sin error.</w:t>
      </w:r>
    </w:p>
    <w:p>
      <w:r>
        <w:t xml:space="preserve">El correo de confirmación en la bandeja de </w:t>
      </w:r>
      <w:r>
        <w:rPr>
          <w:rFonts w:ascii="Consolas" w:hAnsi="Consolas"/>
          <w:sz w:val="19"/>
        </w:rPr>
        <w:t>contacto@josephqaz.dev</w:t>
      </w:r>
      <w:r>
        <w:t>, con el enlace para confirmar la cuenta:</w:t>
      </w:r>
    </w:p>
    <w:p>
      <w:pPr>
        <w:keepNext/>
        <w:spacing w:after="40"/>
        <w:jc w:val="center"/>
      </w:pPr>
      <w:r>
        <w:drawing>
          <wp:inline xmlns:a="http://schemas.openxmlformats.org/drawingml/2006/main" xmlns:pic="http://schemas.openxmlformats.org/drawingml/2006/picture">
            <wp:extent cx="5831840" cy="2226568"/>
            <wp:docPr id="5" name="Picture 5"/>
            <wp:cNvGraphicFramePr>
              <a:graphicFrameLocks noChangeAspect="1"/>
            </wp:cNvGraphicFramePr>
            <a:graphic>
              <a:graphicData uri="http://schemas.openxmlformats.org/drawingml/2006/picture">
                <pic:pic>
                  <pic:nvPicPr>
                    <pic:cNvPr id="0" name="resend-bandeja.png"/>
                    <pic:cNvPicPr/>
                  </pic:nvPicPr>
                  <pic:blipFill>
                    <a:blip r:embed="rId31"/>
                    <a:stretch>
                      <a:fillRect/>
                    </a:stretch>
                  </pic:blipFill>
                  <pic:spPr>
                    <a:xfrm>
                      <a:off x="0" y="0"/>
                      <a:ext cx="5831840" cy="2226568"/>
                    </a:xfrm>
                    <a:prstGeom prst="rect"/>
                  </pic:spPr>
                </pic:pic>
              </a:graphicData>
            </a:graphic>
          </wp:inline>
        </w:drawing>
      </w:r>
    </w:p>
    <w:p>
      <w:pPr>
        <w:jc w:val="center"/>
      </w:pPr>
      <w:r>
        <w:rPr>
          <w:b/>
          <w:color w:val="57534E"/>
          <w:sz w:val="18"/>
        </w:rPr>
        <w:t xml:space="preserve">Figura 5. </w:t>
      </w:r>
      <w:r>
        <w:rPr>
          <w:color w:val="57534E"/>
          <w:sz w:val="18"/>
        </w:rPr>
        <w:t>El correo «Confirma tu correo en Acopio» recibido desde no-reply@josephqaz.dev.</w:t>
      </w:r>
    </w:p>
    <w:p>
      <w:pPr>
        <w:pStyle w:val="Ttulo2"/>
      </w:pPr>
      <w:r>
        <w:t>Limitaciones y fallos considerados</w:t>
      </w:r>
    </w:p>
    <w:p>
      <w:pPr>
        <w:pStyle w:val="Vineta"/>
      </w:pPr>
      <w:r>
        <w:t xml:space="preserve">•  </w:t>
      </w:r>
      <w:r>
        <w:t>SMTP caído o lento: es el caso que la cola resuelve. La operación no se entera y el correo se reintenta solo. Lo cubre una prueba de integración.</w:t>
      </w:r>
    </w:p>
    <w:p>
      <w:pPr>
        <w:pStyle w:val="Vineta"/>
      </w:pPr>
      <w:r>
        <w:t xml:space="preserve">•  </w:t>
      </w:r>
      <w:r>
        <w:t xml:space="preserve">Dos consumidores a la vez: la bandera </w:t>
      </w:r>
      <w:r>
        <w:rPr>
          <w:rFonts w:ascii="Consolas" w:hAnsi="Consolas"/>
          <w:sz w:val="19"/>
        </w:rPr>
        <w:t>procesando</w:t>
      </w:r>
      <w:r>
        <w:t xml:space="preserve"> evita que un lote empiece antes de que termine el anterior, pero solo dentro de una instancia de la API. Con dos instancias, las dos leerían las mismas filas y el correo saldría dos veces. Hoy corre una sola instancia. El arreglo es reclamar el lote con </w:t>
      </w:r>
      <w:r>
        <w:rPr>
          <w:rFonts w:ascii="Consolas" w:hAnsi="Consolas"/>
          <w:sz w:val="19"/>
        </w:rPr>
        <w:t>SELECT … FOR UPDATE SKIP LOCKED</w:t>
      </w:r>
      <w:r>
        <w:t xml:space="preserve"> y quedó anotado como </w:t>
      </w:r>
      <w:r>
        <w:t>P-089</w:t>
      </w:r>
      <w:r>
        <w:t>.</w:t>
      </w:r>
    </w:p>
    <w:p>
      <w:pPr>
        <w:pStyle w:val="Vineta"/>
      </w:pPr>
      <w:r>
        <w:t xml:space="preserve">•  </w:t>
      </w:r>
      <w:r>
        <w:t xml:space="preserve">Caída entre enviar y marcar: si la API se cae después de que Resend acepta el correo y antes de marcarlo </w:t>
      </w:r>
      <w:r>
        <w:rPr>
          <w:rFonts w:ascii="Consolas" w:hAnsi="Consolas"/>
          <w:sz w:val="19"/>
        </w:rPr>
        <w:t>ENVIADO</w:t>
      </w:r>
      <w:r>
        <w:t>, el siguiente lote lo vuelve a enviar. La entrega es «al menos una vez»; para una invitación, un correo repetido es preferible a uno perdido.</w:t>
      </w:r>
    </w:p>
    <w:p>
      <w:pPr>
        <w:pStyle w:val="Vineta"/>
      </w:pPr>
      <w:r>
        <w:t xml:space="preserve">•  </w:t>
      </w:r>
      <w:r>
        <w:t>Hasta un minuto de espera, porque el consumidor corre cada minuto.</w:t>
      </w:r>
    </w:p>
    <w:sectPr w:rsidR="00E2301E" w:rsidRPr="00473CB5" w:rsidSect="00034616">
      <w:footerReference w:type="default" r:id="rId8"/>
      <w:pgSz w:w="11906" w:h="16838"/>
      <w:pgMar w:top="1247" w:right="1361" w:bottom="1134" w:left="136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JUAN PABLO BUSTAMANTE MORENO" w:date="2026-09-09T18:47:00Z" w:initials="JM">
    <w:p w14:paraId="3ED0B8BE" w14:textId="1A6D481D" w:rsidR="00000000" w:rsidRDefault="00000000">
      <w:r>
        <w:annotationRef/>
      </w:r>
      <w:r w:rsidRPr="06668264">
        <w:t>Los 5 hechos observables están muy bien; puede que haga falta indicar cuál es el problema general, en un párrafo. Da la impresión de que son 5 problemas.</w:t>
      </w:r>
    </w:p>
  </w:comment>
  <w:comment w:id="15" w:author="JUAN PABLO BUSTAMANTE MORENO" w:date="2026-09-09T18:54:00Z" w:initials="JM">
    <w:p w14:paraId="348525C2" w14:textId="4F1BC8CB" w:rsidR="00000000" w:rsidRDefault="00000000">
      <w:r>
        <w:annotationRef/>
      </w:r>
      <w:r w:rsidRPr="6D35AA9E">
        <w:t>Podría ser más llamativo el nombre.</w:t>
      </w:r>
    </w:p>
  </w:comment>
  <w:comment w:id="22" w:author="JUAN PABLO BUSTAMANTE MORENO" w:date="2026-09-09T19:03:00Z" w:initials="JM">
    <w:p w14:paraId="39EC59E6" w14:textId="047CDCB4" w:rsidR="00000000" w:rsidRDefault="00000000">
      <w:r>
        <w:annotationRef/>
      </w:r>
      <w:r w:rsidRPr="4A529F6C">
        <w:t>Ok, en general el documento está muy bien. No hay cosas de fondo por corregir, solo de forma (que ya fueron señaladas). Buen trabajo.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ED0B8BE" w15:done="0"/>
  <w15:commentEx w15:paraId="348525C2" w15:done="0"/>
  <w15:commentEx w15:paraId="39EC59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EC9D5A" w16cex:dateUtc="2026-09-09T23:47:00Z">
    <w16cex:extLst>
      <w16:ext w16:uri="{CE6994B0-6A32-4C9F-8C6B-6E91EDA988CE}">
        <cr:reactions xmlns:cr="http://schemas.microsoft.com/office/comments/2020/reactions">
          <cr:reaction reactionType="1">
            <cr:reactionInfo dateUtc="2026-09-11T15:13:21Z">
              <cr:user userId="S::jdrhomandtb@itc.edu.co::17e7cf1a-94c6-4edf-b2e1-9604c33e8e3b" userProvider="AD" userName="JOSEPH DANIEL RHOMANDT BERMUDEZ"/>
            </cr:reactionInfo>
          </cr:reaction>
        </cr:reactions>
      </w16:ext>
    </w16cex:extLst>
  </w16cex:commentExtensible>
  <w16cex:commentExtensible w16cex:durableId="5A168199" w16cex:dateUtc="2026-09-09T23:54:00Z"/>
  <w16cex:commentExtensible w16cex:durableId="440A21FB" w16cex:dateUtc="2026-09-10T00: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ED0B8BE" w16cid:durableId="11EC9D5A"/>
  <w16cid:commentId w16cid:paraId="348525C2" w16cid:durableId="5A168199"/>
  <w16cid:commentId w16cid:paraId="39EC59E6" w16cid:durableId="440A21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F7E23" w14:textId="77777777" w:rsidR="006937EE" w:rsidRPr="00473CB5" w:rsidRDefault="006937EE">
      <w:pPr>
        <w:spacing w:after="0" w:line="240" w:lineRule="auto"/>
      </w:pPr>
      <w:r w:rsidRPr="00473CB5">
        <w:separator/>
      </w:r>
    </w:p>
  </w:endnote>
  <w:endnote w:type="continuationSeparator" w:id="0">
    <w:p w14:paraId="7BCE3E91" w14:textId="77777777" w:rsidR="006937EE" w:rsidRPr="00473CB5" w:rsidRDefault="006937EE">
      <w:pPr>
        <w:spacing w:after="0" w:line="240" w:lineRule="auto"/>
      </w:pPr>
      <w:r w:rsidRPr="00473C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E2F54" w14:textId="77777777" w:rsidR="00E2301E" w:rsidRPr="00473CB5" w:rsidRDefault="00000000">
    <w:pPr>
      <w:pStyle w:val="Piedepgina"/>
      <w:jc w:val="center"/>
    </w:pPr>
    <w:r w:rsidRPr="00473CB5">
      <w:rPr>
        <w:rFonts w:ascii="Segoe UI" w:eastAsia="Segoe UI" w:hAnsi="Segoe UI" w:cs="Segoe UI"/>
        <w:color w:val="A8A29E"/>
        <w:sz w:val="17"/>
      </w:rPr>
      <w:fldChar w:fldCharType="begin"/>
    </w:r>
    <w:r w:rsidRPr="00473CB5">
      <w:rPr>
        <w:rFonts w:ascii="Segoe UI" w:eastAsia="Segoe UI" w:hAnsi="Segoe UI" w:cs="Segoe UI"/>
        <w:color w:val="A8A29E"/>
        <w:sz w:val="17"/>
      </w:rPr>
      <w:instrText xml:space="preserve"> PAGE </w:instrText>
    </w:r>
    <w:r w:rsidRPr="00473CB5">
      <w:rPr>
        <w:rFonts w:ascii="Segoe UI" w:eastAsia="Segoe UI" w:hAnsi="Segoe UI" w:cs="Segoe UI"/>
        <w:color w:val="A8A29E"/>
        <w:sz w:val="17"/>
      </w:rPr>
      <w:fldChar w:fldCharType="separate"/>
    </w:r>
    <w:r w:rsidR="00FA7431" w:rsidRPr="00473CB5">
      <w:rPr>
        <w:rFonts w:ascii="Segoe UI" w:eastAsia="Segoe UI" w:hAnsi="Segoe UI" w:cs="Segoe UI"/>
        <w:color w:val="A8A29E"/>
        <w:sz w:val="17"/>
      </w:rPr>
      <w:t>1</w:t>
    </w:r>
    <w:r w:rsidRPr="00473CB5">
      <w:rPr>
        <w:rFonts w:ascii="Segoe UI" w:eastAsia="Segoe UI" w:hAnsi="Segoe UI" w:cs="Segoe UI"/>
        <w:color w:val="A8A29E"/>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F0E7" w14:textId="77777777" w:rsidR="006937EE" w:rsidRPr="00473CB5" w:rsidRDefault="006937EE">
      <w:pPr>
        <w:spacing w:after="0" w:line="240" w:lineRule="auto"/>
      </w:pPr>
      <w:r w:rsidRPr="00473CB5">
        <w:separator/>
      </w:r>
    </w:p>
  </w:footnote>
  <w:footnote w:type="continuationSeparator" w:id="0">
    <w:p w14:paraId="036031DE" w14:textId="77777777" w:rsidR="006937EE" w:rsidRPr="00473CB5" w:rsidRDefault="006937EE">
      <w:pPr>
        <w:spacing w:after="0" w:line="240" w:lineRule="auto"/>
      </w:pPr>
      <w:r w:rsidRPr="00473CB5">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d4ZX/6k2XVJ7ib" int2:id="lqKWewtA">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F8F2695"/>
    <w:multiLevelType w:val="multilevel"/>
    <w:tmpl w:val="DB6A0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A2588E"/>
    <w:multiLevelType w:val="hybridMultilevel"/>
    <w:tmpl w:val="1D68A576"/>
    <w:lvl w:ilvl="0" w:tplc="8E664B2A">
      <w:start w:val="1"/>
      <w:numFmt w:val="bullet"/>
      <w:lvlText w:val=""/>
      <w:lvlJc w:val="left"/>
      <w:pPr>
        <w:ind w:left="1440" w:hanging="360"/>
      </w:pPr>
      <w:rPr>
        <w:rFonts w:ascii="Symbol" w:hAnsi="Symbol" w:hint="default"/>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5170056F"/>
    <w:multiLevelType w:val="multilevel"/>
    <w:tmpl w:val="46C8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9E6113"/>
    <w:multiLevelType w:val="multilevel"/>
    <w:tmpl w:val="DF485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28D0AFF"/>
    <w:multiLevelType w:val="hybridMultilevel"/>
    <w:tmpl w:val="38D24242"/>
    <w:lvl w:ilvl="0" w:tplc="1CECC9DA">
      <w:start w:val="4"/>
      <w:numFmt w:val="bullet"/>
      <w:lvlText w:val="-"/>
      <w:lvlJc w:val="left"/>
      <w:pPr>
        <w:ind w:left="720" w:hanging="360"/>
      </w:pPr>
      <w:rPr>
        <w:rFonts w:ascii="Cambria" w:eastAsia="Cambria" w:hAnsi="Cambria" w:cs="Cambria"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4" w15:restartNumberingAfterBreak="0">
    <w:nsid w:val="6FCD6A4E"/>
    <w:multiLevelType w:val="hybridMultilevel"/>
    <w:tmpl w:val="150268C0"/>
    <w:lvl w:ilvl="0" w:tplc="27542F9A">
      <w:start w:val="1"/>
      <w:numFmt w:val="bullet"/>
      <w:lvlText w:val=""/>
      <w:lvlJc w:val="left"/>
      <w:pPr>
        <w:ind w:left="720" w:hanging="360"/>
      </w:pPr>
      <w:rPr>
        <w:rFonts w:ascii="Symbol" w:hAnsi="Symbol" w:hint="default"/>
        <w:color w:val="auto"/>
      </w:rPr>
    </w:lvl>
    <w:lvl w:ilvl="1" w:tplc="540A0003">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5" w15:restartNumberingAfterBreak="0">
    <w:nsid w:val="71A81235"/>
    <w:multiLevelType w:val="multilevel"/>
    <w:tmpl w:val="557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DF512D"/>
    <w:multiLevelType w:val="multilevel"/>
    <w:tmpl w:val="0306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7918928">
    <w:abstractNumId w:val="8"/>
  </w:num>
  <w:num w:numId="2" w16cid:durableId="1152595805">
    <w:abstractNumId w:val="6"/>
  </w:num>
  <w:num w:numId="3" w16cid:durableId="1371220407">
    <w:abstractNumId w:val="5"/>
  </w:num>
  <w:num w:numId="4" w16cid:durableId="1862355980">
    <w:abstractNumId w:val="4"/>
  </w:num>
  <w:num w:numId="5" w16cid:durableId="1019310944">
    <w:abstractNumId w:val="7"/>
  </w:num>
  <w:num w:numId="6" w16cid:durableId="913203921">
    <w:abstractNumId w:val="3"/>
  </w:num>
  <w:num w:numId="7" w16cid:durableId="1486125497">
    <w:abstractNumId w:val="2"/>
  </w:num>
  <w:num w:numId="8" w16cid:durableId="533805707">
    <w:abstractNumId w:val="1"/>
  </w:num>
  <w:num w:numId="9" w16cid:durableId="727993240">
    <w:abstractNumId w:val="0"/>
  </w:num>
  <w:num w:numId="10" w16cid:durableId="2145656612">
    <w:abstractNumId w:val="9"/>
  </w:num>
  <w:num w:numId="11" w16cid:durableId="980772154">
    <w:abstractNumId w:val="15"/>
  </w:num>
  <w:num w:numId="12" w16cid:durableId="359159894">
    <w:abstractNumId w:val="11"/>
  </w:num>
  <w:num w:numId="13" w16cid:durableId="2109694856">
    <w:abstractNumId w:val="16"/>
  </w:num>
  <w:num w:numId="14" w16cid:durableId="1601445158">
    <w:abstractNumId w:val="14"/>
  </w:num>
  <w:num w:numId="15" w16cid:durableId="92559988">
    <w:abstractNumId w:val="10"/>
  </w:num>
  <w:num w:numId="16" w16cid:durableId="1299067693">
    <w:abstractNumId w:val="13"/>
  </w:num>
  <w:num w:numId="17" w16cid:durableId="1919557047">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PABLO BUSTAMANTE MORENO">
    <w15:presenceInfo w15:providerId="AD" w15:userId="S::jpbustamantem@itc.edu.co::4a090a4f-9489-491e-b13e-a0936b0027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26"/>
    <w:rsid w:val="00012E9C"/>
    <w:rsid w:val="00034616"/>
    <w:rsid w:val="00055EEC"/>
    <w:rsid w:val="0006063C"/>
    <w:rsid w:val="00067766"/>
    <w:rsid w:val="0009428C"/>
    <w:rsid w:val="000C1090"/>
    <w:rsid w:val="0015074B"/>
    <w:rsid w:val="00203FC8"/>
    <w:rsid w:val="0021133D"/>
    <w:rsid w:val="00261134"/>
    <w:rsid w:val="0026534C"/>
    <w:rsid w:val="0029639D"/>
    <w:rsid w:val="003170FD"/>
    <w:rsid w:val="00326F90"/>
    <w:rsid w:val="003400C4"/>
    <w:rsid w:val="003B35E1"/>
    <w:rsid w:val="00473CB5"/>
    <w:rsid w:val="004A5C6B"/>
    <w:rsid w:val="004F7A63"/>
    <w:rsid w:val="00670B79"/>
    <w:rsid w:val="006937EE"/>
    <w:rsid w:val="006B01D0"/>
    <w:rsid w:val="007025BB"/>
    <w:rsid w:val="00732F44"/>
    <w:rsid w:val="00735779"/>
    <w:rsid w:val="00745EC2"/>
    <w:rsid w:val="00783F01"/>
    <w:rsid w:val="00857649"/>
    <w:rsid w:val="00913754"/>
    <w:rsid w:val="00967093"/>
    <w:rsid w:val="0097012C"/>
    <w:rsid w:val="00984140"/>
    <w:rsid w:val="00984EFA"/>
    <w:rsid w:val="009A1063"/>
    <w:rsid w:val="009B516E"/>
    <w:rsid w:val="00A12365"/>
    <w:rsid w:val="00A46151"/>
    <w:rsid w:val="00A85073"/>
    <w:rsid w:val="00A86B9F"/>
    <w:rsid w:val="00AA1D8D"/>
    <w:rsid w:val="00B47730"/>
    <w:rsid w:val="00B57820"/>
    <w:rsid w:val="00BF45E5"/>
    <w:rsid w:val="00C128C5"/>
    <w:rsid w:val="00C16BA9"/>
    <w:rsid w:val="00C91532"/>
    <w:rsid w:val="00CB0664"/>
    <w:rsid w:val="00D8655D"/>
    <w:rsid w:val="00DC03AB"/>
    <w:rsid w:val="00DF55D4"/>
    <w:rsid w:val="00E15DE6"/>
    <w:rsid w:val="00E16176"/>
    <w:rsid w:val="00E2301E"/>
    <w:rsid w:val="00E8174E"/>
    <w:rsid w:val="00E83E61"/>
    <w:rsid w:val="00E87650"/>
    <w:rsid w:val="00F71230"/>
    <w:rsid w:val="00FA7431"/>
    <w:rsid w:val="00FC693F"/>
    <w:rsid w:val="00FE5E79"/>
    <w:rsid w:val="019E102D"/>
    <w:rsid w:val="06A0C53B"/>
    <w:rsid w:val="06DE633B"/>
    <w:rsid w:val="10C82BC3"/>
    <w:rsid w:val="140780EB"/>
    <w:rsid w:val="183B5799"/>
    <w:rsid w:val="2565C17E"/>
    <w:rsid w:val="31AE2FAE"/>
    <w:rsid w:val="334D70A1"/>
    <w:rsid w:val="33BA2888"/>
    <w:rsid w:val="40A23002"/>
    <w:rsid w:val="4299855C"/>
    <w:rsid w:val="4D490452"/>
    <w:rsid w:val="547C2236"/>
    <w:rsid w:val="5E2C6509"/>
    <w:rsid w:val="623A31F5"/>
    <w:rsid w:val="625DF8AC"/>
    <w:rsid w:val="7715E27F"/>
    <w:rsid w:val="78C696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2DB5C"/>
  <w14:defaultImageDpi w14:val="300"/>
  <w15:docId w15:val="{3B51F67B-D906-40CE-85AE-E6C2D8234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Cambria" w:eastAsia="Cambria" w:hAnsi="Cambria" w:cs="Cambria"/>
      <w:color w:val="1C1917"/>
      <w:lang w:val="es-419"/>
    </w:rPr>
  </w:style>
  <w:style w:type="paragraph" w:styleId="Ttulo1">
    <w:name w:val="heading 1"/>
    <w:basedOn w:val="Normal"/>
    <w:next w:val="Normal"/>
    <w:link w:val="Ttulo1Car"/>
    <w:uiPriority w:val="9"/>
    <w:qFormat/>
    <w:rsid w:val="00FC693F"/>
    <w:pPr>
      <w:keepNext/>
      <w:keepLines/>
      <w:pBdr>
        <w:bottom w:val="single" w:sz="12" w:space="6" w:color="0F6E6E"/>
      </w:pBdr>
      <w:spacing w:after="240" w:line="240" w:lineRule="auto"/>
      <w:jc w:val="left"/>
      <w:outlineLvl w:val="0"/>
    </w:pPr>
    <w:rPr>
      <w:rFonts w:asciiTheme="majorHAnsi" w:eastAsiaTheme="majorEastAsia" w:hAnsiTheme="majorHAnsi" w:cstheme="majorBidi"/>
      <w:b/>
      <w:bCs/>
      <w:caps/>
      <w:color w:val="0F6E6E"/>
      <w:sz w:val="34"/>
      <w:szCs w:val="28"/>
    </w:rPr>
  </w:style>
  <w:style w:type="paragraph" w:styleId="Ttulo2">
    <w:name w:val="heading 2"/>
    <w:basedOn w:val="Normal"/>
    <w:next w:val="Normal"/>
    <w:link w:val="Ttulo2Car"/>
    <w:uiPriority w:val="9"/>
    <w:unhideWhenUsed/>
    <w:qFormat/>
    <w:rsid w:val="00FC693F"/>
    <w:pPr>
      <w:keepNext/>
      <w:keepLines/>
      <w:spacing w:before="320" w:after="100" w:line="240" w:lineRule="auto"/>
      <w:jc w:val="left"/>
      <w:outlineLvl w:val="1"/>
    </w:pPr>
    <w:rPr>
      <w:rFonts w:asciiTheme="majorHAnsi" w:eastAsiaTheme="majorEastAsia" w:hAnsiTheme="majorHAnsi" w:cstheme="majorBidi"/>
      <w:b/>
      <w:bCs/>
      <w:color w:val="0A4F4F"/>
      <w:sz w:val="26"/>
      <w:szCs w:val="26"/>
    </w:rPr>
  </w:style>
  <w:style w:type="paragraph" w:styleId="Ttulo3">
    <w:name w:val="heading 3"/>
    <w:basedOn w:val="Normal"/>
    <w:next w:val="Normal"/>
    <w:link w:val="Ttulo3Car"/>
    <w:uiPriority w:val="9"/>
    <w:unhideWhenUsed/>
    <w:qFormat/>
    <w:rsid w:val="00FC693F"/>
    <w:pPr>
      <w:keepNext/>
      <w:keepLines/>
      <w:spacing w:before="240" w:after="60"/>
      <w:jc w:val="left"/>
      <w:outlineLvl w:val="2"/>
    </w:pPr>
    <w:rPr>
      <w:rFonts w:asciiTheme="majorHAnsi" w:eastAsiaTheme="majorEastAsia" w:hAnsiTheme="majorHAnsi" w:cstheme="majorBidi"/>
      <w:b/>
      <w:bCs/>
      <w:color w:val="57534E"/>
      <w:sz w:val="2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80" w:line="240" w:lineRule="auto"/>
      <w:contextualSpacing/>
      <w:jc w:val="left"/>
    </w:pPr>
    <w:rPr>
      <w:rFonts w:asciiTheme="majorHAnsi" w:eastAsiaTheme="majorEastAsia" w:hAnsiTheme="majorHAnsi" w:cstheme="majorBidi"/>
      <w:b/>
      <w:color w:val="0A4F4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os">
    <w:name w:val="Metadatos"/>
    <w:basedOn w:val="Normal"/>
    <w:pPr>
      <w:spacing w:after="20"/>
      <w:jc w:val="left"/>
    </w:pPr>
    <w:rPr>
      <w:rFonts w:ascii="Segoe UI" w:eastAsia="Segoe UI" w:hAnsi="Segoe UI" w:cs="Segoe UI"/>
      <w:color w:val="57534E"/>
      <w:sz w:val="20"/>
    </w:rPr>
  </w:style>
  <w:style w:type="paragraph" w:customStyle="1" w:styleId="Citadestacada1">
    <w:name w:val="Cita destacada1"/>
    <w:basedOn w:val="Normal"/>
    <w:pPr>
      <w:pBdr>
        <w:left w:val="single" w:sz="18" w:space="8" w:color="D97706"/>
      </w:pBdr>
      <w:spacing w:before="60" w:after="60" w:line="264" w:lineRule="auto"/>
      <w:ind w:left="312" w:right="198"/>
      <w:jc w:val="left"/>
    </w:pPr>
    <w:rPr>
      <w:color w:val="7C2D12"/>
      <w:sz w:val="20"/>
    </w:rPr>
  </w:style>
  <w:style w:type="paragraph" w:customStyle="1" w:styleId="Bloquedecodigo">
    <w:name w:val="Bloque de codigo"/>
    <w:basedOn w:val="Normal"/>
    <w:pPr>
      <w:spacing w:after="0" w:line="0" w:lineRule="auto"/>
      <w:ind w:left="198"/>
      <w:jc w:val="left"/>
    </w:pPr>
    <w:rPr>
      <w:rFonts w:ascii="Consolas" w:eastAsia="Consolas" w:hAnsi="Consolas" w:cs="Consolas"/>
      <w:sz w:val="17"/>
    </w:rPr>
  </w:style>
  <w:style w:type="paragraph" w:customStyle="1" w:styleId="Vineta">
    <w:name w:val="Vineta"/>
    <w:basedOn w:val="Normal"/>
    <w:pPr>
      <w:spacing w:after="60" w:line="264" w:lineRule="auto"/>
      <w:ind w:left="425" w:hanging="255"/>
      <w:jc w:val="left"/>
    </w:pPr>
  </w:style>
  <w:style w:type="paragraph" w:customStyle="1" w:styleId="Textodetabla">
    <w:name w:val="Texto de tabla"/>
    <w:basedOn w:val="Normal"/>
    <w:pPr>
      <w:spacing w:before="40" w:after="40" w:line="252" w:lineRule="auto"/>
      <w:jc w:val="left"/>
    </w:pPr>
    <w:rPr>
      <w:rFonts w:ascii="Segoe UI" w:eastAsia="Segoe UI" w:hAnsi="Segoe UI" w:cs="Segoe UI"/>
      <w:sz w:val="17"/>
    </w:rPr>
  </w:style>
  <w:style w:type="paragraph" w:styleId="NormalWeb">
    <w:name w:val="Normal (Web)"/>
    <w:basedOn w:val="Normal"/>
    <w:uiPriority w:val="99"/>
    <w:semiHidden/>
    <w:unhideWhenUsed/>
    <w:rsid w:val="0097012C"/>
    <w:rPr>
      <w:rFonts w:ascii="Times New Roman" w:hAnsi="Times New Roman" w:cs="Times New Roman"/>
      <w:sz w:val="24"/>
      <w:szCs w:val="24"/>
    </w:rPr>
  </w:style>
  <w:style w:type="character" w:styleId="Hipervnculo">
    <w:name w:val="Hyperlink"/>
    <w:basedOn w:val="Fuentedeprrafopredeter"/>
    <w:uiPriority w:val="99"/>
    <w:unhideWhenUsed/>
    <w:rsid w:val="00A46151"/>
    <w:rPr>
      <w:color w:val="0000FF" w:themeColor="hyperlink"/>
      <w:u w:val="single"/>
    </w:rPr>
  </w:style>
  <w:style w:type="character" w:styleId="Mencinsinresolver">
    <w:name w:val="Unresolved Mention"/>
    <w:basedOn w:val="Fuentedeprrafopredeter"/>
    <w:uiPriority w:val="99"/>
    <w:semiHidden/>
    <w:unhideWhenUsed/>
    <w:rsid w:val="00A46151"/>
    <w:rPr>
      <w:color w:val="605E5C"/>
      <w:shd w:val="clear" w:color="auto" w:fill="E1DFDD"/>
    </w:rPr>
  </w:style>
  <w:style w:type="character" w:styleId="Hipervnculovisitado">
    <w:name w:val="FollowedHyperlink"/>
    <w:basedOn w:val="Fuentedeprrafopredeter"/>
    <w:uiPriority w:val="99"/>
    <w:semiHidden/>
    <w:unhideWhenUsed/>
    <w:rsid w:val="00A46151"/>
    <w:rPr>
      <w:color w:val="800080" w:themeColor="followedHyperlink"/>
      <w:u w:val="single"/>
    </w:rPr>
  </w:style>
  <w:style w:type="paragraph" w:styleId="TDC1">
    <w:name w:val="toc 1"/>
    <w:basedOn w:val="Normal"/>
    <w:next w:val="Normal"/>
    <w:autoRedefine/>
    <w:uiPriority w:val="39"/>
    <w:unhideWhenUsed/>
    <w:rsid w:val="000C1090"/>
    <w:pPr>
      <w:spacing w:after="100"/>
    </w:pPr>
  </w:style>
  <w:style w:type="paragraph" w:styleId="TDC2">
    <w:name w:val="toc 2"/>
    <w:basedOn w:val="Normal"/>
    <w:next w:val="Normal"/>
    <w:autoRedefine/>
    <w:uiPriority w:val="39"/>
    <w:unhideWhenUsed/>
    <w:rsid w:val="000C1090"/>
    <w:pPr>
      <w:spacing w:after="100"/>
      <w:ind w:left="220"/>
    </w:p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rFonts w:ascii="Cambria" w:eastAsia="Cambria" w:hAnsi="Cambria" w:cs="Cambria"/>
      <w:color w:val="1C1917"/>
      <w:sz w:val="20"/>
      <w:szCs w:val="20"/>
      <w:lang w:val="es-419"/>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dacopiobogota.com/" TargetMode="External"/><Relationship Id="rId18" Type="http://schemas.openxmlformats.org/officeDocument/2006/relationships/hyperlink" Target="https://www.infobae.com/colombia/2026/08/10/centros-de-acopio-habilitados-en-colombia-tras-el-terremoto-guia-por-ciudad-para-donar-y-ayudar-a-las-victimas" TargetMode="External"/><Relationship Id="rId26" Type="http://schemas.microsoft.com/office/2020/10/relationships/intelligence" Target="intelligence2.xml"/><Relationship Id="rId3" Type="http://schemas.openxmlformats.org/officeDocument/2006/relationships/styles" Target="styles.xml"/><Relationship Id="rId21" Type="http://schemas.openxmlformats.org/officeDocument/2006/relationships/hyperlink" Target="https://www.ushahidi.com"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bogota.gov.co/mi-ciudad/ambiente/que-donar-y-no-donar-en-bogota-para-damnificados-terremoto-colombia"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apccolombia.gov.co/comunicaciones/noticias/apc-colombia-emite-orientaciones-para-articular-las-donaciones-y-ayudas" TargetMode="External"/><Relationship Id="rId20" Type="http://schemas.openxmlformats.org/officeDocument/2006/relationships/hyperlink" Target="https://sahanafoundation.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www.dane.gov.co/index.php/estadisticas-por-tema/demografia-y-poblacion/proyecciones-de-poblacion" TargetMode="External"/><Relationship Id="rId23"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www.canalcapital.gov.co/ahora/palacio-de-los-deportes-donaciones-hoy-horario-como-ayudar"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spherestandards.org/wp-content/uploads/El-manual-Esfera-2018-ES.pdf" TargetMode="External"/><Relationship Id="rId22" Type="http://schemas.openxmlformats.org/officeDocument/2006/relationships/hyperlink" Target="https://www.kobotoolbox.org" TargetMode="Externa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5548</Words>
  <Characters>30520</Characters>
  <Application>Microsoft Office Word</Application>
  <DocSecurity>0</DocSecurity>
  <Lines>254</Lines>
  <Paragraphs>71</Paragraphs>
  <ScaleCrop>false</ScaleCrop>
  <Manager/>
  <Company/>
  <LinksUpToDate>false</LinksUpToDate>
  <CharactersWithSpaces>35997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Complemento de la sustentación del segundo corte</dc:title>
  <dc:subject>Acopio · Ingeniería de Software I · ETITC</dc:subject>
  <dc:creator>python-docx</dc:creator>
  <cp:keywords/>
  <dc:description>generated by python-docx</dc:description>
  <cp:lastModifiedBy>JOSEPH DANIEL RHOMANDT BERMUDEZ</cp:lastModifiedBy>
  <cp:revision>3</cp:revision>
  <dcterms:created xsi:type="dcterms:W3CDTF">2026-09-11T16:07:00Z</dcterms:created>
  <dcterms:modified xsi:type="dcterms:W3CDTF">2026-09-11T16:10:00Z</dcterms:modified>
  <cp:category/>
</cp:coreProperties>
</file>