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pPr>
        <w:pStyle w:val="Ttulo"/>
      </w:pPr>
      <w:r>
        <w:t>Avance de proyecto #4 — Sprint 1: primer incremento funcional y arquitectura de desarrollo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1 · semanas 8 a 10, del 21 de septiembre al 11 de octubre de 2026</w:t>
      </w:r>
    </w:p>
    <w:p>
      <w:pPr>
        <w:pStyle w:val="Metadatos"/>
      </w:pPr>
      <w:r>
        <w:rPr>
          <w:b/>
        </w:rPr>
        <w:t xml:space="preserve">Repositorio: </w:t>
      </w:r>
      <w:r>
        <w:t>https://github.com/Proyecto-IngSoftware/acopio</w:t>
      </w:r>
    </w:p>
    <w:p>
      <w:r>
        <w:br w:type="page"/>
      </w:r>
    </w:p>
    <w:p>
      <w:pPr>
        <w:pStyle w:val="Ttulo1"/>
      </w:pPr>
      <w:r>
        <w:t>1. Incremento funcional</w:t>
      </w:r>
    </w:p>
    <w:p>
      <w:r>
        <w:t>La guía pide como mínimo una API REST del dominio con base de datos en Docker. El Sprint 1 entregó la API y también la interfaz web de los mismos bloques.</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Pide la guía</w:t>
            </w:r>
          </w:p>
        </w:tc>
        <w:tc>
          <w:tcPr>
            <w:tcW w:type="dxa" w:w="6916"/>
            <w:shd w:val="clear" w:color="auto" w:fill="0F6E6E"/>
          </w:tcPr>
          <w:p>
            <w:pPr>
              <w:spacing w:after="40"/>
              <w:jc w:val="left"/>
            </w:pPr>
            <w:r>
              <w:rPr>
                <w:b/>
                <w:color w:val="FFFFFF"/>
                <w:sz w:val="16"/>
              </w:rPr>
              <w:t>Cómo se cumple</w:t>
            </w:r>
          </w:p>
        </w:tc>
      </w:tr>
      <w:tr>
        <w:trPr>
          <w:cantSplit w:val="true"/>
        </w:trPr>
        <w:tc>
          <w:tcPr>
            <w:tcW w:type="dxa" w:w="2268"/>
          </w:tcPr>
          <w:p>
            <w:pPr>
              <w:spacing w:after="40"/>
              <w:jc w:val="left"/>
            </w:pPr>
            <w:r>
              <w:rPr>
                <w:sz w:val="16"/>
              </w:rPr>
              <w:t>API REST funcional</w:t>
            </w:r>
          </w:p>
        </w:tc>
        <w:tc>
          <w:tcPr>
            <w:tcW w:type="dxa" w:w="6916"/>
          </w:tcPr>
          <w:p>
            <w:pPr>
              <w:spacing w:after="40"/>
              <w:jc w:val="left"/>
            </w:pPr>
            <w:r>
              <w:rPr>
                <w:sz w:val="16"/>
              </w:rPr>
              <w:t xml:space="preserve">NestJS 11 en </w:t>
            </w:r>
            <w:r>
              <w:rPr>
                <w:rFonts w:ascii="Consolas" w:hAnsi="Consolas"/>
                <w:sz w:val="13"/>
              </w:rPr>
              <w:t>apps/api</w:t>
            </w:r>
            <w:r>
              <w:rPr>
                <w:sz w:val="16"/>
              </w:rPr>
              <w:t xml:space="preserve">, con 10 módulos de dominio. El contrato OpenAPI está en </w:t>
            </w:r>
            <w:r>
              <w:rPr>
                <w:sz w:val="16"/>
              </w:rPr>
              <w:t>openapi.json</w:t>
            </w:r>
          </w:p>
        </w:tc>
      </w:tr>
      <w:tr>
        <w:trPr>
          <w:cantSplit w:val="true"/>
        </w:trPr>
        <w:tc>
          <w:tcPr>
            <w:tcW w:type="dxa" w:w="2268"/>
          </w:tcPr>
          <w:p>
            <w:pPr>
              <w:spacing w:after="40"/>
              <w:jc w:val="left"/>
            </w:pPr>
            <w:r>
              <w:rPr>
                <w:sz w:val="16"/>
              </w:rPr>
              <w:t>Base de datos real dentro de Docker</w:t>
            </w:r>
          </w:p>
        </w:tc>
        <w:tc>
          <w:tcPr>
            <w:tcW w:type="dxa" w:w="6916"/>
          </w:tcPr>
          <w:p>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trPr>
          <w:cantSplit w:val="true"/>
        </w:trPr>
        <w:tc>
          <w:tcPr>
            <w:tcW w:type="dxa" w:w="2268"/>
          </w:tcPr>
          <w:p>
            <w:pPr>
              <w:spacing w:after="40"/>
              <w:jc w:val="left"/>
            </w:pPr>
            <w:r>
              <w:rPr>
                <w:sz w:val="16"/>
              </w:rPr>
              <w:t>Ejecutable con Docker Compose</w:t>
            </w:r>
          </w:p>
        </w:tc>
        <w:tc>
          <w:tcPr>
            <w:tcW w:type="dxa" w:w="6916"/>
          </w:tcPr>
          <w:p>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trPr>
          <w:cantSplit w:val="true"/>
        </w:trPr>
        <w:tc>
          <w:tcPr>
            <w:tcW w:type="dxa" w:w="2268"/>
          </w:tcPr>
          <w:p>
            <w:pPr>
              <w:spacing w:after="40"/>
              <w:jc w:val="left"/>
            </w:pPr>
            <w:r>
              <w:rPr>
                <w:sz w:val="16"/>
              </w:rPr>
              <w:t>Variables de entorno</w:t>
            </w:r>
          </w:p>
        </w:tc>
        <w:tc>
          <w:tcPr>
            <w:tcW w:type="dxa" w:w="6916"/>
          </w:tcPr>
          <w:p>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trPr>
          <w:cantSplit w:val="true"/>
        </w:trPr>
        <w:tc>
          <w:tcPr>
            <w:tcW w:type="dxa" w:w="2268"/>
          </w:tcPr>
          <w:p>
            <w:pPr>
              <w:spacing w:after="40"/>
              <w:jc w:val="left"/>
            </w:pPr>
            <w:r>
              <w:rPr>
                <w:sz w:val="16"/>
              </w:rPr>
              <w:t>Persistencia con volumen</w:t>
            </w:r>
          </w:p>
        </w:tc>
        <w:tc>
          <w:tcPr>
            <w:tcW w:type="dxa" w:w="6916"/>
          </w:tcPr>
          <w:p>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trPr>
          <w:cantSplit w:val="true"/>
        </w:trPr>
        <w:tc>
          <w:tcPr>
            <w:tcW w:type="dxa" w:w="2268"/>
          </w:tcPr>
          <w:p>
            <w:pPr>
              <w:spacing w:after="40"/>
              <w:jc w:val="left"/>
            </w:pPr>
            <w:r>
              <w:rPr>
                <w:sz w:val="16"/>
              </w:rPr>
              <w:t>Colaboración en GitHub</w:t>
            </w:r>
          </w:p>
        </w:tc>
        <w:tc>
          <w:tcPr>
            <w:tcW w:type="dxa" w:w="6916"/>
          </w:tcPr>
          <w:p>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trPr>
          <w:cantSplit w:val="true"/>
        </w:trPr>
        <w:tc>
          <w:tcPr>
            <w:tcW w:type="dxa" w:w="2268"/>
          </w:tcPr>
          <w:p>
            <w:pPr>
              <w:spacing w:after="40"/>
              <w:jc w:val="left"/>
            </w:pPr>
            <w:r>
              <w:rPr>
                <w:sz w:val="16"/>
              </w:rPr>
              <w:t>CRUD y estado del servicio</w:t>
            </w:r>
          </w:p>
        </w:tc>
        <w:tc>
          <w:tcPr>
            <w:tcW w:type="dxa" w:w="6916"/>
          </w:tcPr>
          <w:p>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trPr>
          <w:cantSplit w:val="true"/>
        </w:trPr>
        <w:tc>
          <w:tcPr>
            <w:tcW w:type="dxa" w:w="2268"/>
          </w:tcPr>
          <w:p>
            <w:pPr>
              <w:spacing w:after="40"/>
              <w:jc w:val="left"/>
            </w:pPr>
            <w:r>
              <w:rPr>
                <w:sz w:val="16"/>
              </w:rPr>
              <w:t>Manejo básico de errores</w:t>
            </w:r>
          </w:p>
        </w:tc>
        <w:tc>
          <w:tcPr>
            <w:tcW w:type="dxa" w:w="6916"/>
          </w:tcPr>
          <w:p>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trPr>
          <w:cantSplit w:val="true"/>
        </w:trPr>
        <w:tc>
          <w:tcPr>
            <w:tcW w:type="dxa" w:w="2268"/>
          </w:tcPr>
          <w:p>
            <w:pPr>
              <w:spacing w:after="40"/>
              <w:jc w:val="left"/>
            </w:pPr>
            <w:r>
              <w:rPr>
                <w:sz w:val="16"/>
              </w:rPr>
              <w:t>Seguridad mínima</w:t>
            </w:r>
          </w:p>
        </w:tc>
        <w:tc>
          <w:tcPr>
            <w:tcW w:type="dxa" w:w="6916"/>
          </w:tcPr>
          <w:p>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trPr>
          <w:cantSplit w:val="true"/>
        </w:trPr>
        <w:tc>
          <w:tcPr>
            <w:tcW w:type="dxa" w:w="2268"/>
          </w:tcPr>
          <w:p>
            <w:pPr>
              <w:spacing w:after="40"/>
              <w:jc w:val="left"/>
            </w:pPr>
            <w:r>
              <w:rPr>
                <w:sz w:val="16"/>
              </w:rPr>
              <w:t>Pruebas manuales</w:t>
            </w:r>
          </w:p>
        </w:tc>
        <w:tc>
          <w:tcPr>
            <w:tcW w:type="dxa" w:w="6916"/>
          </w:tcPr>
          <w:p>
            <w:pPr>
              <w:spacing w:after="40"/>
              <w:jc w:val="left"/>
            </w:pPr>
            <w:r>
              <w:rPr>
                <w:sz w:val="16"/>
              </w:rPr>
              <w:t>scripts/pruebas-manuales.sh</w:t>
            </w:r>
            <w:r>
              <w:rPr>
                <w:sz w:val="16"/>
              </w:rPr>
              <w:t xml:space="preserve"> corre 11 peticiones con curl contra la API del Compose. La salida del 2026-10-07 está en </w:t>
            </w:r>
            <w:r>
              <w:rPr>
                <w:sz w:val="16"/>
              </w:rPr>
              <w:t>pruebas-api.txt</w:t>
            </w:r>
          </w:p>
        </w:tc>
      </w:tr>
    </w:tbl>
    <w:p>
      <w:pPr>
        <w:spacing w:after="40"/>
      </w:pPr>
    </w:p>
    <w:p>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pPr>
        <w:sectPr>
          <w:pgSz w:w="11906" w:h="16838"/>
          <w:pgMar w:top="1247" w:right="1361" w:bottom="1134" w:left="1361" w:header="720" w:footer="720" w:gutter="0"/>
          <w:cols w:space="720"/>
          <w:docGrid w:linePitch="360"/>
        </w:sectPr>
      </w:pPr>
    </w:p>
    <w:p>
      <w:pPr>
        <w:pStyle w:val="Ttulo1"/>
      </w:pPr>
      <w:r>
        <w:t>2. Diagrama de paquetes</w:t>
      </w:r>
    </w:p>
    <w:p>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pPr>
        <w:pStyle w:val="Ttulo2"/>
      </w:pPr>
      <w:r>
        <w:t>Paquetes del monorepo</w:t>
      </w:r>
    </w:p>
    <w:p>
      <w:pPr>
        <w:keepNext/>
        <w:spacing w:after="40"/>
        <w:jc w:val="center"/>
      </w:pPr>
      <w:r>
        <w:drawing>
          <wp:inline xmlns:a="http://schemas.openxmlformats.org/drawingml/2006/main" xmlns:pic="http://schemas.openxmlformats.org/drawingml/2006/picture">
            <wp:extent cx="8963660" cy="4132596"/>
            <wp:docPr id="21" name="Picture 1"/>
            <wp:cNvGraphicFramePr>
              <a:graphicFrameLocks noChangeAspect="1"/>
            </wp:cNvGraphicFramePr>
            <a:graphic>
              <a:graphicData uri="http://schemas.openxmlformats.org/drawingml/2006/picture">
                <pic:pic>
                  <pic:nvPicPr>
                    <pic:cNvPr id="21" name="arquitectura-03-paquetes-del-monorepo.png"/>
                    <pic:cNvPicPr/>
                  </pic:nvPicPr>
                  <pic:blipFill>
                    <a:blip r:embed="rId47"/>
                    <a:stretch>
                      <a:fillRect/>
                    </a:stretch>
                  </pic:blipFill>
                  <pic:spPr>
                    <a:xfrm>
                      <a:off x="0" y="0"/>
                      <a:ext cx="8963660" cy="4132596"/>
                    </a:xfrm>
                    <a:prstGeom prst="rect"/>
                  </pic:spPr>
                </pic:pic>
              </a:graphicData>
            </a:graphic>
          </wp:inline>
        </w:drawing>
      </w:r>
    </w:p>
    <w:p>
      <w:pPr>
        <w:jc w:val="center"/>
      </w:pPr>
      <w:r>
        <w:rPr>
          <w:b/>
          <w:color w:val="57534E"/>
          <w:sz w:val="18"/>
        </w:rPr>
        <w:t xml:space="preserve">Figura 1. </w:t>
      </w:r>
      <w:r>
        <w:rPr>
          <w:color w:val="57534E"/>
          <w:sz w:val="18"/>
        </w:rPr>
        <w:t>Paquetes del monorepo de Acopio y cómo se relacionan la web, la API y los paquetes compartidos.</w:t>
      </w:r>
    </w:p>
    <w:p>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pPr>
        <w:pStyle w:val="Ttulo2"/>
      </w:pPr>
      <w:r>
        <w:t>Paquetes de la API</w:t>
      </w:r>
    </w:p>
    <w:p>
      <w:pPr>
        <w:keepNext/>
        <w:spacing w:after="40"/>
        <w:jc w:val="center"/>
      </w:pPr>
      <w:r>
        <w:drawing>
          <wp:inline xmlns:a="http://schemas.openxmlformats.org/drawingml/2006/main" xmlns:pic="http://schemas.openxmlformats.org/drawingml/2006/picture">
            <wp:extent cx="6521442" cy="4896375"/>
            <wp:docPr id="22" name="Picture 2"/>
            <wp:cNvGraphicFramePr>
              <a:graphicFrameLocks noChangeAspect="1"/>
            </wp:cNvGraphicFramePr>
            <a:graphic>
              <a:graphicData uri="http://schemas.openxmlformats.org/drawingml/2006/picture">
                <pic:pic>
                  <pic:nvPicPr>
                    <pic:cNvPr id="22" name="arquitectura-04-paquetes-de-la-api.png"/>
                    <pic:cNvPicPr/>
                  </pic:nvPicPr>
                  <pic:blipFill>
                    <a:blip r:embed="rId48"/>
                    <a:stretch>
                      <a:fillRect/>
                    </a:stretch>
                  </pic:blipFill>
                  <pic:spPr>
                    <a:xfrm>
                      <a:off x="0" y="0"/>
                      <a:ext cx="6521442" cy="4896375"/>
                    </a:xfrm>
                    <a:prstGeom prst="rect"/>
                  </pic:spPr>
                </pic:pic>
              </a:graphicData>
            </a:graphic>
          </wp:inline>
        </w:drawing>
      </w:r>
    </w:p>
    <w:p>
      <w:pPr>
        <w:jc w:val="center"/>
      </w:pPr>
      <w:r>
        <w:rPr>
          <w:b/>
          <w:color w:val="57534E"/>
          <w:sz w:val="18"/>
        </w:rPr>
        <w:t xml:space="preserve">Figura 2. </w:t>
      </w:r>
      <w:r>
        <w:rPr>
          <w:color w:val="57534E"/>
          <w:sz w:val="18"/>
        </w:rPr>
        <w:t>Paquetes de apps/api/src: módulos de dominio arriba, módulos hoja y código común abajo.</w:t>
      </w:r>
    </w:p>
    <w:p>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r>
        <w:t>Corresponde al ADR-001 (</w:t>
      </w:r>
      <w:r>
        <w:t>ADR-0008</w:t>
      </w:r>
      <w:r>
        <w:t>), que eligió cliente-servidor con un monolito modular en capas: un solo proceso de API, con módulos de dominio cuyos límites hace cumplir el CI.</w:t>
      </w:r>
    </w:p>
    <w:p>
      <w:pPr>
        <w:sectPr>
          <w:pgSz w:w="16838" w:h="11906" w:orient="landscape"/>
          <w:pgMar w:top="1247" w:right="1361" w:bottom="1134" w:left="1361" w:header="720" w:footer="720" w:gutter="0"/>
          <w:cols w:space="720"/>
          <w:docGrid w:linePitch="360"/>
        </w:sectPr>
      </w:pPr>
    </w:p>
    <w:p>
      <w:pPr>
        <w:pStyle w:val="Ttulo1"/>
      </w:pPr>
      <w:r>
        <w:t>3. Registro documental del Sprint</w:t>
      </w:r>
    </w:p>
    <w:p>
      <w:pPr>
        <w:pStyle w:val="Ttulo2"/>
      </w:pPr>
      <w:r>
        <w:t>3a. Sprint Planning</w:t>
      </w:r>
    </w:p>
    <w:p>
      <w:r>
        <w:t>El Sprint 0 cerró con la reunión del equipo del 28 de septiembre (</w:t>
      </w:r>
      <w:r>
        <w:t>#22</w:t>
      </w:r>
      <w:r>
        <w:t xml:space="preserve">). En ella se confirmó la estimación de las historias con Planning Poker (83 puntos, HU-10 dividida en HU-10a y HU-10b, </w:t>
      </w:r>
      <w:r>
        <w:t>#13</w:t>
      </w:r>
      <w:r>
        <w:t>).</w:t>
      </w:r>
    </w:p>
    <w:p>
      <w:r>
        <w:t>El ADR-001 había limitado el Sprint 1 al Bloque 0 (cimientos y spike de NestJS), porque NestJS era nuevo para el equipo. El spike salió rápido y el sprint se fue ampliando bloque por bloque, cada uno con su especificación y su plan escrito antes de empezar (</w:t>
      </w:r>
      <w:r>
        <w:t>docs/05-planes</w:t>
      </w:r>
      <w:r>
        <w:t>). La tabla registra lo que terminó siendo el Sprint 1, no solo lo previsto el 28 de septiembre.</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Contenido</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w:t>
            </w:r>
            <w:r>
              <w:rPr>
                <w:sz w:val="16"/>
              </w:rPr>
              <w:t>Avance 2</w:t>
            </w:r>
            <w:r>
              <w:rPr>
                <w:sz w:val="16"/>
              </w:rPr>
              <w:t>. Si sobraba tiempo, se abría HU-10a y HU-10b (13 puntos)</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RTA-01, NestJS nuevo para el equipo: se resolvió con el spike (</w:t>
            </w:r>
            <w:r>
              <w:rPr>
                <w:sz w:val="16"/>
              </w:rPr>
              <w:t>#19</w:t>
            </w:r>
            <w:r>
              <w:rPr>
                <w:sz w:val="16"/>
              </w:rPr>
              <w:t>). RTA-02, concurrencia del inventario: prueba contra PostgreSQL en contenedor (</w:t>
            </w:r>
            <w:r>
              <w:rPr>
                <w:sz w:val="16"/>
              </w:rPr>
              <w:t>#27</w:t>
            </w:r>
            <w:r>
              <w:rPr>
                <w:sz w:val="16"/>
              </w:rPr>
              <w:t>). Canasta estándar y población por zona, que bloqueaban el motor (</w:t>
            </w:r>
            <w:r>
              <w:rPr>
                <w:sz w:val="16"/>
              </w:rPr>
              <w:t>#20</w:t>
            </w:r>
            <w:r>
              <w:rPr>
                <w:sz w:val="16"/>
              </w:rPr>
              <w:t>). Proveedor del VPS, dominio y remitente de correo, todavía abierto (</w:t>
            </w:r>
            <w:r>
              <w:rPr>
                <w:sz w:val="16"/>
              </w:rPr>
              <w:t>#26</w:t>
            </w:r>
            <w:r>
              <w:rPr>
                <w:sz w:val="16"/>
              </w:rPr>
              <w:t>)</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pPr>
        <w:spacing w:after="40"/>
      </w:pPr>
    </w:p>
    <w:p>
      <w:pPr>
        <w:keepNext/>
        <w:spacing w:after="40"/>
        <w:jc w:val="center"/>
      </w:pPr>
      <w:r>
        <w:drawing>
          <wp:inline xmlns:a="http://schemas.openxmlformats.org/drawingml/2006/main" xmlns:pic="http://schemas.openxmlformats.org/drawingml/2006/picture">
            <wp:extent cx="5831840" cy="1994623"/>
            <wp:docPr id="23" name="Picture 3"/>
            <wp:cNvGraphicFramePr>
              <a:graphicFrameLocks noChangeAspect="1"/>
            </wp:cNvGraphicFramePr>
            <a:graphic>
              <a:graphicData uri="http://schemas.openxmlformats.org/drawingml/2006/picture">
                <pic:pic>
                  <pic:nvPicPr>
                    <pic:cNvPr id="23" name="tablero.png"/>
                    <pic:cNvPicPr/>
                  </pic:nvPicPr>
                  <pic:blipFill>
                    <a:blip r:embed="rId49"/>
                    <a:stretch>
                      <a:fillRect/>
                    </a:stretch>
                  </pic:blipFill>
                  <pic:spPr>
                    <a:xfrm>
                      <a:off x="0" y="0"/>
                      <a:ext cx="5831840" cy="1994623"/>
                    </a:xfrm>
                    <a:prstGeom prst="rect"/>
                  </pic:spPr>
                </pic:pic>
              </a:graphicData>
            </a:graphic>
          </wp:inline>
        </w:drawing>
      </w:r>
    </w:p>
    <w:p>
      <w:pPr>
        <w:jc w:val="center"/>
      </w:pPr>
      <w:r>
        <w:rPr>
          <w:b/>
          <w:color w:val="57534E"/>
          <w:sz w:val="18"/>
        </w:rPr>
        <w:t xml:space="preserve">Figura 3. </w:t>
      </w:r>
      <w:r>
        <w:rPr>
          <w:color w:val="57534E"/>
          <w:sz w:val="18"/>
        </w:rPr>
        <w:t>Tablero del Project con las historias seleccionadas para el Sprint 1.</w:t>
      </w:r>
    </w:p>
    <w:p>
      <w:pPr>
        <w:pStyle w:val="Ttulo2"/>
      </w:pPr>
      <w:r>
        <w:t>3b. Seguimiento del equipo (Daily Scrum)</w:t>
      </w:r>
    </w:p>
    <w:p>
      <w:r>
        <w:t>El equipo no se reúne a diario: hace un seguimiento por semana, el miércoles o el viernes (</w:t>
      </w:r>
      <w:r>
        <w:t>calendario</w:t>
      </w:r>
      <w:r>
        <w:t xml:space="preserve">). El del Sprint 1 es el </w:t>
      </w:r>
      <w:r>
        <w:rPr>
          <w:b/>
        </w:rPr>
        <w:t>viernes 9 de octubre</w:t>
      </w:r>
      <w:r>
        <w:t>, al terminar la clase virtual de las 6:30 p. m. (</w:t>
      </w:r>
      <w:r>
        <w:t>agenda</w:t>
      </w:r>
      <w:r>
        <w:t>). Se toma una captura de la videollamada o una foto y cada integrante llena su fila.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Bloque 3 completo: donaciones con folio, recepción, conciliación y seguimiento, con su interfaz. Etapa 1 de la API del motor: necesidad, excedentes, sugerencias, aprobar y descartar</w:t>
            </w:r>
          </w:p>
        </w:tc>
        <w:tc>
          <w:tcPr>
            <w:tcW w:type="dxa" w:w="2738"/>
          </w:tcPr>
          <w:p>
            <w:pPr>
              <w:spacing w:after="40"/>
              <w:jc w:val="left"/>
            </w:pPr>
            <w:r>
              <w:rPr>
                <w:sz w:val="16"/>
              </w:rPr>
              <w:t>Etapa 2 de la API del motor: remisiones, recepción en zona y reportes de necesidad</w:t>
            </w:r>
          </w:p>
        </w:tc>
        <w:tc>
          <w:tcPr>
            <w:tcW w:type="dxa" w:w="1956"/>
          </w:tcPr>
          <w:p>
            <w:pPr>
              <w:spacing w:after="40"/>
              <w:jc w:val="left"/>
            </w:pPr>
            <w:r>
              <w:rPr>
                <w:sz w:val="16"/>
              </w:rPr>
              <w:t>Que alguien más pruebe el escáner con un teléfono real (P-037)</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o foto del seguimiento del viernes 9 de octubre (evidencia/avance-04/seguimiento.png).</w:t>
            </w:r>
          </w:p>
        </w:tc>
      </w:tr>
    </w:tbl>
    <w:p>
      <w:pPr>
        <w:spacing w:after="40"/>
      </w:pPr>
    </w:p>
    <w:p>
      <w:pPr>
        <w:pStyle w:val="Ttulo2"/>
      </w:pPr>
      <w:r>
        <w:t>3c. Sprint Review y retrospectiva</w:t>
      </w:r>
    </w:p>
    <w:p>
      <w:r>
        <w:rPr>
          <w:b/>
        </w:rPr>
        <w:t>Evidencia.</w:t>
      </w:r>
      <w:r>
        <w:t xml:space="preserve"> La revisión se hizo el 2026-10-07 contra la API del Compose:</w:t>
      </w:r>
    </w:p>
    <w:p>
      <w:pPr>
        <w:pStyle w:val="Vineta"/>
      </w:pPr>
      <w:r>
        <w:t xml:space="preserve">•  </w:t>
      </w:r>
      <w:r>
        <w:t>pruebas-api.txt</w:t>
      </w:r>
      <w:r>
        <w:t xml:space="preserve">: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pPr>
        <w:pStyle w:val="Vineta"/>
      </w:pPr>
      <w:r>
        <w:t xml:space="preserve">•  </w:t>
      </w:r>
      <w:r>
        <w:t>contenedores.txt</w:t>
      </w:r>
      <w:r>
        <w:t xml:space="preserve">: </w:t>
      </w:r>
      <w:r>
        <w:rPr>
          <w:rFonts w:ascii="Consolas" w:hAnsi="Consolas"/>
          <w:sz w:val="19"/>
        </w:rPr>
        <w:t>docker ps</w:t>
      </w:r>
      <w:r>
        <w:t xml:space="preserve"> con los cuatro servicios sanos y los volúmenes.</w:t>
      </w:r>
    </w:p>
    <w:p>
      <w:pPr>
        <w:pStyle w:val="Vineta"/>
      </w:pPr>
      <w:r>
        <w:t xml:space="preserve">•  </w:t>
      </w:r>
      <w:r>
        <w:t xml:space="preserve">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w:t>
      </w:r>
      <w:r>
        <w:t>cómo se corren</w:t>
      </w:r>
      <w:r>
        <w:t>).</w:t>
      </w:r>
    </w:p>
    <w:p>
      <w:r>
        <w:rPr>
          <w:b/>
        </w:rPr>
        <w:t>Resultado de las pruebas manuales.</w:t>
      </w:r>
      <w:r>
        <w:t xml:space="preserve"> 11 de 11 peticiones respondieron el código esperado. El detalle de cada una está en el anexo; </w:t>
      </w:r>
      <w:r>
        <w:rPr>
          <w:rFonts w:ascii="Consolas" w:hAnsi="Consolas"/>
          <w:sz w:val="19"/>
        </w:rPr>
        <w:t>{id}</w:t>
      </w:r>
      <w:r>
        <w:t xml:space="preserve"> es la categoría creada en la prueba 5.</w:t>
      </w:r>
    </w:p>
    <w:tbl>
      <w:tblPr>
        <w:tblStyle w:val="Tablaconcuadrcula"/>
        <w:tblW w:type="auto" w:w="0"/>
        <w:jc w:val="center"/>
        <w:tblLook w:firstColumn="1" w:firstRow="1" w:lastColumn="0" w:lastRow="0" w:noHBand="0" w:noVBand="1" w:val="04A0"/>
      </w:tblPr>
      <w:tblGrid>
        <w:gridCol w:w="1531"/>
        <w:gridCol w:w="1531"/>
        <w:gridCol w:w="1531"/>
        <w:gridCol w:w="1531"/>
        <w:gridCol w:w="1531"/>
        <w:gridCol w:w="1531"/>
      </w:tblGrid>
      <w:tr>
        <w:trPr>
          <w:cantSplit w:val="true"/>
          <w:tblHeader w:val="true"/>
        </w:trPr>
        <w:tc>
          <w:tcPr>
            <w:tcW w:type="dxa" w:w="454"/>
            <w:shd w:val="clear" w:color="auto" w:fill="0F6E6E"/>
          </w:tcPr>
          <w:p>
            <w:pPr>
              <w:spacing w:after="40"/>
              <w:jc w:val="center"/>
            </w:pPr>
            <w:r>
              <w:rPr>
                <w:b/>
                <w:color w:val="FFFFFF"/>
                <w:sz w:val="16"/>
              </w:rPr>
              <w:t>#</w:t>
            </w:r>
          </w:p>
        </w:tc>
        <w:tc>
          <w:tcPr>
            <w:tcW w:type="dxa" w:w="3061"/>
            <w:shd w:val="clear" w:color="auto" w:fill="0F6E6E"/>
          </w:tcPr>
          <w:p>
            <w:pPr>
              <w:spacing w:after="40"/>
              <w:jc w:val="left"/>
            </w:pPr>
            <w:r>
              <w:rPr>
                <w:b/>
                <w:color w:val="FFFFFF"/>
                <w:sz w:val="16"/>
              </w:rPr>
              <w:t>Prueba</w:t>
            </w:r>
          </w:p>
        </w:tc>
        <w:tc>
          <w:tcPr>
            <w:tcW w:type="dxa" w:w="2948"/>
            <w:shd w:val="clear" w:color="auto" w:fill="0F6E6E"/>
          </w:tcPr>
          <w:p>
            <w:pPr>
              <w:spacing w:after="40"/>
              <w:jc w:val="left"/>
            </w:pPr>
            <w:r>
              <w:rPr>
                <w:b/>
                <w:color w:val="FFFFFF"/>
                <w:sz w:val="16"/>
              </w:rPr>
              <w:t>Petición</w:t>
            </w:r>
          </w:p>
        </w:tc>
        <w:tc>
          <w:tcPr>
            <w:tcW w:type="dxa" w:w="907"/>
            <w:shd w:val="clear" w:color="auto" w:fill="0F6E6E"/>
          </w:tcPr>
          <w:p>
            <w:pPr>
              <w:spacing w:after="40"/>
              <w:jc w:val="center"/>
            </w:pPr>
            <w:r>
              <w:rPr>
                <w:b/>
                <w:color w:val="FFFFFF"/>
                <w:sz w:val="16"/>
              </w:rPr>
              <w:t>Esperado</w:t>
            </w:r>
          </w:p>
        </w:tc>
        <w:tc>
          <w:tcPr>
            <w:tcW w:type="dxa" w:w="907"/>
            <w:shd w:val="clear" w:color="auto" w:fill="0F6E6E"/>
          </w:tcPr>
          <w:p>
            <w:pPr>
              <w:spacing w:after="40"/>
              <w:jc w:val="center"/>
            </w:pPr>
            <w:r>
              <w:rPr>
                <w:b/>
                <w:color w:val="FFFFFF"/>
                <w:sz w:val="16"/>
              </w:rPr>
              <w:t>Obtenido</w:t>
            </w:r>
          </w:p>
        </w:tc>
        <w:tc>
          <w:tcPr>
            <w:tcW w:type="dxa" w:w="907"/>
            <w:shd w:val="clear" w:color="auto" w:fill="0F6E6E"/>
          </w:tcPr>
          <w:p>
            <w:pPr>
              <w:spacing w:after="40"/>
              <w:jc w:val="center"/>
            </w:pPr>
            <w:r>
              <w:rPr>
                <w:b/>
                <w:color w:val="FFFFFF"/>
                <w:sz w:val="16"/>
              </w:rPr>
              <w:t>¿Cumple?</w:t>
            </w:r>
          </w:p>
        </w:tc>
      </w:tr>
      <w:tr>
        <w:trPr>
          <w:cantSplit w:val="true"/>
        </w:trPr>
        <w:tc>
          <w:tcPr>
            <w:tcW w:type="dxa" w:w="454"/>
          </w:tcPr>
          <w:p>
            <w:pPr>
              <w:spacing w:after="40"/>
              <w:jc w:val="center"/>
            </w:pPr>
            <w:r>
              <w:rPr>
                <w:sz w:val="16"/>
              </w:rPr>
              <w:t>1</w:t>
            </w:r>
          </w:p>
        </w:tc>
        <w:tc>
          <w:tcPr>
            <w:tcW w:type="dxa" w:w="3061"/>
          </w:tcPr>
          <w:p>
            <w:pPr>
              <w:spacing w:after="40"/>
              <w:jc w:val="left"/>
            </w:pPr>
            <w:r>
              <w:rPr>
                <w:sz w:val="16"/>
              </w:rPr>
              <w:t>Estado del servicio (público)</w:t>
            </w:r>
          </w:p>
        </w:tc>
        <w:tc>
          <w:tcPr>
            <w:tcW w:type="dxa" w:w="2948"/>
          </w:tcPr>
          <w:p>
            <w:pPr>
              <w:spacing w:after="40"/>
              <w:jc w:val="left"/>
            </w:pPr>
            <w:r>
              <w:rPr>
                <w:rFonts w:ascii="Consolas" w:hAnsi="Consolas"/>
                <w:sz w:val="13"/>
              </w:rPr>
              <w:t>GET /api/salud</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2</w:t>
            </w:r>
          </w:p>
        </w:tc>
        <w:tc>
          <w:tcPr>
            <w:tcW w:type="dxa" w:w="3061"/>
          </w:tcPr>
          <w:p>
            <w:pPr>
              <w:spacing w:after="40"/>
              <w:jc w:val="left"/>
            </w:pPr>
            <w:r>
              <w:rPr>
                <w:sz w:val="16"/>
              </w:rPr>
              <w:t>Sin sesión, una ruta protegida responde 401</w:t>
            </w:r>
          </w:p>
        </w:tc>
        <w:tc>
          <w:tcPr>
            <w:tcW w:type="dxa" w:w="2948"/>
          </w:tcPr>
          <w:p>
            <w:pPr>
              <w:spacing w:after="40"/>
              <w:jc w:val="left"/>
            </w:pPr>
            <w:r>
              <w:rPr>
                <w:rFonts w:ascii="Consolas" w:hAnsi="Consolas"/>
                <w:sz w:val="13"/>
              </w:rPr>
              <w:t>GET /api/categorias</w:t>
            </w:r>
          </w:p>
        </w:tc>
        <w:tc>
          <w:tcPr>
            <w:tcW w:type="dxa" w:w="907"/>
          </w:tcPr>
          <w:p>
            <w:pPr>
              <w:spacing w:after="40"/>
              <w:jc w:val="center"/>
            </w:pPr>
            <w:r>
              <w:rPr>
                <w:sz w:val="16"/>
              </w:rPr>
              <w:t>401</w:t>
            </w:r>
          </w:p>
        </w:tc>
        <w:tc>
          <w:tcPr>
            <w:tcW w:type="dxa" w:w="907"/>
          </w:tcPr>
          <w:p>
            <w:pPr>
              <w:spacing w:after="40"/>
              <w:jc w:val="center"/>
            </w:pPr>
            <w:r>
              <w:rPr>
                <w:sz w:val="16"/>
              </w:rPr>
              <w:t>401</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3</w:t>
            </w:r>
          </w:p>
        </w:tc>
        <w:tc>
          <w:tcPr>
            <w:tcW w:type="dxa" w:w="3061"/>
          </w:tcPr>
          <w:p>
            <w:pPr>
              <w:spacing w:after="40"/>
              <w:jc w:val="left"/>
            </w:pPr>
            <w:r>
              <w:rPr>
                <w:sz w:val="16"/>
              </w:rPr>
              <w:t>Inicio de sesión del administrador</w:t>
            </w:r>
          </w:p>
        </w:tc>
        <w:tc>
          <w:tcPr>
            <w:tcW w:type="dxa" w:w="2948"/>
          </w:tcPr>
          <w:p>
            <w:pPr>
              <w:spacing w:after="40"/>
              <w:jc w:val="left"/>
            </w:pPr>
            <w:r>
              <w:rPr>
                <w:rFonts w:ascii="Consolas" w:hAnsi="Consolas"/>
                <w:sz w:val="13"/>
              </w:rPr>
              <w:t>POST /api/auth/sesion</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4</w:t>
            </w:r>
          </w:p>
        </w:tc>
        <w:tc>
          <w:tcPr>
            <w:tcW w:type="dxa" w:w="3061"/>
          </w:tcPr>
          <w:p>
            <w:pPr>
              <w:spacing w:after="40"/>
              <w:jc w:val="left"/>
            </w:pPr>
            <w:r>
              <w:rPr>
                <w:sz w:val="16"/>
              </w:rPr>
              <w:t>Quién soy</w:t>
            </w:r>
          </w:p>
        </w:tc>
        <w:tc>
          <w:tcPr>
            <w:tcW w:type="dxa" w:w="2948"/>
          </w:tcPr>
          <w:p>
            <w:pPr>
              <w:spacing w:after="40"/>
              <w:jc w:val="left"/>
            </w:pPr>
            <w:r>
              <w:rPr>
                <w:rFonts w:ascii="Consolas" w:hAnsi="Consolas"/>
                <w:sz w:val="13"/>
              </w:rPr>
              <w:t>GET /api/auth/yo</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5</w:t>
            </w:r>
          </w:p>
        </w:tc>
        <w:tc>
          <w:tcPr>
            <w:tcW w:type="dxa" w:w="3061"/>
          </w:tcPr>
          <w:p>
            <w:pPr>
              <w:spacing w:after="40"/>
              <w:jc w:val="left"/>
            </w:pPr>
            <w:r>
              <w:rPr>
                <w:sz w:val="16"/>
              </w:rPr>
              <w:t>Crear una categoría (C de CRUD)</w:t>
            </w:r>
          </w:p>
        </w:tc>
        <w:tc>
          <w:tcPr>
            <w:tcW w:type="dxa" w:w="2948"/>
          </w:tcPr>
          <w:p>
            <w:pPr>
              <w:spacing w:after="40"/>
              <w:jc w:val="left"/>
            </w:pPr>
            <w:r>
              <w:rPr>
                <w:rFonts w:ascii="Consolas" w:hAnsi="Consolas"/>
                <w:sz w:val="13"/>
              </w:rPr>
              <w:t>POST /api/categorias</w:t>
            </w:r>
          </w:p>
        </w:tc>
        <w:tc>
          <w:tcPr>
            <w:tcW w:type="dxa" w:w="907"/>
          </w:tcPr>
          <w:p>
            <w:pPr>
              <w:spacing w:after="40"/>
              <w:jc w:val="center"/>
            </w:pPr>
            <w:r>
              <w:rPr>
                <w:sz w:val="16"/>
              </w:rPr>
              <w:t>201</w:t>
            </w:r>
          </w:p>
        </w:tc>
        <w:tc>
          <w:tcPr>
            <w:tcW w:type="dxa" w:w="907"/>
          </w:tcPr>
          <w:p>
            <w:pPr>
              <w:spacing w:after="40"/>
              <w:jc w:val="center"/>
            </w:pPr>
            <w:r>
              <w:rPr>
                <w:sz w:val="16"/>
              </w:rPr>
              <w:t>201</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6</w:t>
            </w:r>
          </w:p>
        </w:tc>
        <w:tc>
          <w:tcPr>
            <w:tcW w:type="dxa" w:w="3061"/>
          </w:tcPr>
          <w:p>
            <w:pPr>
              <w:spacing w:after="40"/>
              <w:jc w:val="left"/>
            </w:pPr>
            <w:r>
              <w:rPr>
                <w:sz w:val="16"/>
              </w:rPr>
              <w:t>Consultar la categoría creada (R)</w:t>
            </w:r>
          </w:p>
        </w:tc>
        <w:tc>
          <w:tcPr>
            <w:tcW w:type="dxa" w:w="2948"/>
          </w:tcPr>
          <w:p>
            <w:pPr>
              <w:spacing w:after="40"/>
              <w:jc w:val="left"/>
            </w:pPr>
            <w:r>
              <w:rPr>
                <w:rFonts w:ascii="Consolas" w:hAnsi="Consolas"/>
                <w:sz w:val="13"/>
              </w:rPr>
              <w:t>GET /api/categorias/{id}</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7</w:t>
            </w:r>
          </w:p>
        </w:tc>
        <w:tc>
          <w:tcPr>
            <w:tcW w:type="dxa" w:w="3061"/>
          </w:tcPr>
          <w:p>
            <w:pPr>
              <w:spacing w:after="40"/>
              <w:jc w:val="left"/>
            </w:pPr>
            <w:r>
              <w:rPr>
                <w:sz w:val="16"/>
              </w:rPr>
              <w:t>Modificarla (U)</w:t>
            </w:r>
          </w:p>
        </w:tc>
        <w:tc>
          <w:tcPr>
            <w:tcW w:type="dxa" w:w="2948"/>
          </w:tcPr>
          <w:p>
            <w:pPr>
              <w:spacing w:after="40"/>
              <w:jc w:val="left"/>
            </w:pPr>
            <w:r>
              <w:rPr>
                <w:rFonts w:ascii="Consolas" w:hAnsi="Consolas"/>
                <w:sz w:val="13"/>
              </w:rPr>
              <w:t>PATCH /api/categorias/{id}</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8</w:t>
            </w:r>
          </w:p>
        </w:tc>
        <w:tc>
          <w:tcPr>
            <w:tcW w:type="dxa" w:w="3061"/>
          </w:tcPr>
          <w:p>
            <w:pPr>
              <w:spacing w:after="40"/>
              <w:jc w:val="left"/>
            </w:pPr>
            <w:r>
              <w:rPr>
                <w:sz w:val="16"/>
              </w:rPr>
              <w:t>Validación: falta la unidad base, responde 400 con el detalle</w:t>
            </w:r>
          </w:p>
        </w:tc>
        <w:tc>
          <w:tcPr>
            <w:tcW w:type="dxa" w:w="2948"/>
          </w:tcPr>
          <w:p>
            <w:pPr>
              <w:spacing w:after="40"/>
              <w:jc w:val="left"/>
            </w:pPr>
            <w:r>
              <w:rPr>
                <w:rFonts w:ascii="Consolas" w:hAnsi="Consolas"/>
                <w:sz w:val="13"/>
              </w:rPr>
              <w:t>POST /api/categorias</w:t>
            </w:r>
          </w:p>
        </w:tc>
        <w:tc>
          <w:tcPr>
            <w:tcW w:type="dxa" w:w="907"/>
          </w:tcPr>
          <w:p>
            <w:pPr>
              <w:spacing w:after="40"/>
              <w:jc w:val="center"/>
            </w:pPr>
            <w:r>
              <w:rPr>
                <w:sz w:val="16"/>
              </w:rPr>
              <w:t>400</w:t>
            </w:r>
          </w:p>
        </w:tc>
        <w:tc>
          <w:tcPr>
            <w:tcW w:type="dxa" w:w="907"/>
          </w:tcPr>
          <w:p>
            <w:pPr>
              <w:spacing w:after="40"/>
              <w:jc w:val="center"/>
            </w:pPr>
            <w:r>
              <w:rPr>
                <w:sz w:val="16"/>
              </w:rPr>
              <w:t>400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9</w:t>
            </w:r>
          </w:p>
        </w:tc>
        <w:tc>
          <w:tcPr>
            <w:tcW w:type="dxa" w:w="3061"/>
          </w:tcPr>
          <w:p>
            <w:pPr>
              <w:spacing w:after="40"/>
              <w:jc w:val="left"/>
            </w:pPr>
            <w:r>
              <w:rPr>
                <w:sz w:val="16"/>
              </w:rPr>
              <w:t>Borrarla (D)</w:t>
            </w:r>
          </w:p>
        </w:tc>
        <w:tc>
          <w:tcPr>
            <w:tcW w:type="dxa" w:w="2948"/>
          </w:tcPr>
          <w:p>
            <w:pPr>
              <w:spacing w:after="40"/>
              <w:jc w:val="left"/>
            </w:pPr>
            <w:r>
              <w:rPr>
                <w:rFonts w:ascii="Consolas" w:hAnsi="Consolas"/>
                <w:sz w:val="13"/>
              </w:rPr>
              <w:t>DELETE /api/categorias/{id}</w:t>
            </w:r>
          </w:p>
        </w:tc>
        <w:tc>
          <w:tcPr>
            <w:tcW w:type="dxa" w:w="907"/>
          </w:tcPr>
          <w:p>
            <w:pPr>
              <w:spacing w:after="40"/>
              <w:jc w:val="center"/>
            </w:pPr>
            <w:r>
              <w:rPr>
                <w:sz w:val="16"/>
              </w:rPr>
              <w:t>204</w:t>
            </w:r>
          </w:p>
        </w:tc>
        <w:tc>
          <w:tcPr>
            <w:tcW w:type="dxa" w:w="907"/>
          </w:tcPr>
          <w:p>
            <w:pPr>
              <w:spacing w:after="40"/>
              <w:jc w:val="center"/>
            </w:pPr>
            <w:r>
              <w:rPr>
                <w:sz w:val="16"/>
              </w:rPr>
              <w:t>204</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10</w:t>
            </w:r>
          </w:p>
        </w:tc>
        <w:tc>
          <w:tcPr>
            <w:tcW w:type="dxa" w:w="3061"/>
          </w:tcPr>
          <w:p>
            <w:pPr>
              <w:spacing w:after="40"/>
              <w:jc w:val="left"/>
            </w:pPr>
            <w:r>
              <w:rPr>
                <w:sz w:val="16"/>
              </w:rPr>
              <w:t>Ya no existe: 404 con el formato único de error</w:t>
            </w:r>
          </w:p>
        </w:tc>
        <w:tc>
          <w:tcPr>
            <w:tcW w:type="dxa" w:w="2948"/>
          </w:tcPr>
          <w:p>
            <w:pPr>
              <w:spacing w:after="40"/>
              <w:jc w:val="left"/>
            </w:pPr>
            <w:r>
              <w:rPr>
                <w:rFonts w:ascii="Consolas" w:hAnsi="Consolas"/>
                <w:sz w:val="13"/>
              </w:rPr>
              <w:t>GET /api/categorias/{id}</w:t>
            </w:r>
          </w:p>
        </w:tc>
        <w:tc>
          <w:tcPr>
            <w:tcW w:type="dxa" w:w="907"/>
          </w:tcPr>
          <w:p>
            <w:pPr>
              <w:spacing w:after="40"/>
              <w:jc w:val="center"/>
            </w:pPr>
            <w:r>
              <w:rPr>
                <w:sz w:val="16"/>
              </w:rPr>
              <w:t>404</w:t>
            </w:r>
          </w:p>
        </w:tc>
        <w:tc>
          <w:tcPr>
            <w:tcW w:type="dxa" w:w="907"/>
          </w:tcPr>
          <w:p>
            <w:pPr>
              <w:spacing w:after="40"/>
              <w:jc w:val="center"/>
            </w:pPr>
            <w:r>
              <w:rPr>
                <w:sz w:val="16"/>
              </w:rPr>
              <w:t>404</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11</w:t>
            </w:r>
          </w:p>
        </w:tc>
        <w:tc>
          <w:tcPr>
            <w:tcW w:type="dxa" w:w="3061"/>
          </w:tcPr>
          <w:p>
            <w:pPr>
              <w:spacing w:after="40"/>
              <w:jc w:val="left"/>
            </w:pPr>
            <w:r>
              <w:rPr>
                <w:sz w:val="16"/>
              </w:rPr>
              <w:t>Seguimiento público de un folio que no existe: mensaje genérico</w:t>
            </w:r>
          </w:p>
        </w:tc>
        <w:tc>
          <w:tcPr>
            <w:tcW w:type="dxa" w:w="2948"/>
          </w:tcPr>
          <w:p>
            <w:pPr>
              <w:spacing w:after="40"/>
              <w:jc w:val="left"/>
            </w:pPr>
            <w:r>
              <w:rPr>
                <w:rFonts w:ascii="Consolas" w:hAnsi="Consolas"/>
                <w:sz w:val="13"/>
              </w:rPr>
              <w:t>GET /api/seguimiento/DON-0000-0000</w:t>
            </w:r>
          </w:p>
        </w:tc>
        <w:tc>
          <w:tcPr>
            <w:tcW w:type="dxa" w:w="907"/>
          </w:tcPr>
          <w:p>
            <w:pPr>
              <w:spacing w:after="40"/>
              <w:jc w:val="center"/>
            </w:pPr>
            <w:r>
              <w:rPr>
                <w:sz w:val="16"/>
              </w:rPr>
              <w:t>404</w:t>
            </w:r>
          </w:p>
        </w:tc>
        <w:tc>
          <w:tcPr>
            <w:tcW w:type="dxa" w:w="907"/>
          </w:tcPr>
          <w:p>
            <w:pPr>
              <w:spacing w:after="40"/>
              <w:jc w:val="center"/>
            </w:pPr>
            <w:r>
              <w:rPr>
                <w:sz w:val="16"/>
              </w:rPr>
              <w:t>404</w:t>
            </w:r>
          </w:p>
        </w:tc>
        <w:tc>
          <w:tcPr>
            <w:tcW w:type="dxa" w:w="907"/>
          </w:tcPr>
          <w:p>
            <w:pPr>
              <w:spacing w:after="40"/>
              <w:jc w:val="center"/>
            </w:pPr>
            <w:r>
              <w:rPr>
                <w:sz w:val="16"/>
              </w:rPr>
              <w:t>Sí</w:t>
            </w:r>
          </w:p>
        </w:tc>
      </w:tr>
    </w:tbl>
    <w:p>
      <w:pPr>
        <w:spacing w:after="40"/>
      </w:pP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HU-14 Dar acceso sin conocer contraseñas</w:t>
            </w:r>
          </w:p>
        </w:tc>
        <w:tc>
          <w:tcPr>
            <w:tcW w:type="dxa" w:w="1361"/>
          </w:tcPr>
          <w:p>
            <w:pPr>
              <w:spacing w:after="40"/>
              <w:jc w:val="left"/>
            </w:pPr>
            <w:r>
              <w:rPr>
                <w:sz w:val="16"/>
              </w:rPr>
              <w:t>Sí</w:t>
            </w:r>
          </w:p>
        </w:tc>
        <w:tc>
          <w:tcPr>
            <w:tcW w:type="dxa" w:w="5442"/>
          </w:tcPr>
          <w:p>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trPr>
          <w:cantSplit w:val="true"/>
        </w:trPr>
        <w:tc>
          <w:tcPr>
            <w:tcW w:type="dxa" w:w="2381"/>
          </w:tcPr>
          <w:p>
            <w:pPr>
              <w:spacing w:after="40"/>
              <w:jc w:val="left"/>
            </w:pPr>
            <w:r>
              <w:rPr>
                <w:sz w:val="16"/>
              </w:rPr>
              <w:t>HU-01 Saber qué comprar antes de salir</w:t>
            </w:r>
          </w:p>
        </w:tc>
        <w:tc>
          <w:tcPr>
            <w:tcW w:type="dxa" w:w="1361"/>
          </w:tcPr>
          <w:p>
            <w:pPr>
              <w:spacing w:after="40"/>
              <w:jc w:val="left"/>
            </w:pPr>
            <w:r>
              <w:rPr>
                <w:sz w:val="16"/>
              </w:rPr>
              <w:t>Parcialmente</w:t>
            </w:r>
          </w:p>
        </w:tc>
        <w:tc>
          <w:tcPr>
            <w:tcW w:type="dxa" w:w="5442"/>
          </w:tcPr>
          <w:p>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No</w:t>
            </w:r>
          </w:p>
        </w:tc>
        <w:tc>
          <w:tcPr>
            <w:tcW w:type="dxa" w:w="5442"/>
          </w:tcPr>
          <w:p>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No</w:t>
            </w:r>
          </w:p>
        </w:tc>
        <w:tc>
          <w:tcPr>
            <w:tcW w:type="dxa" w:w="5442"/>
          </w:tcPr>
          <w:p>
            <w:pPr>
              <w:spacing w:after="40"/>
              <w:jc w:val="left"/>
            </w:pPr>
            <w:r>
              <w:rPr>
                <w:sz w:val="16"/>
              </w:rPr>
              <w:t>La verificación de entidades con documento soporte y su vencimiento a los 6 meses no se construyeron. Mismo motivo que HU-02</w:t>
            </w:r>
          </w:p>
        </w:tc>
      </w:tr>
      <w:tr>
        <w:trPr>
          <w:cantSplit w:val="true"/>
        </w:trPr>
        <w:tc>
          <w:tcPr>
            <w:tcW w:type="dxa" w:w="2381"/>
          </w:tcPr>
          <w:p>
            <w:pPr>
              <w:spacing w:after="40"/>
              <w:jc w:val="left"/>
            </w:pPr>
            <w:r>
              <w:rPr>
                <w:sz w:val="16"/>
              </w:rPr>
              <w:t>HU-04 Registrar sin frenar la fila</w:t>
            </w:r>
          </w:p>
        </w:tc>
        <w:tc>
          <w:tcPr>
            <w:tcW w:type="dxa" w:w="1361"/>
          </w:tcPr>
          <w:p>
            <w:pPr>
              <w:spacing w:after="40"/>
              <w:jc w:val="left"/>
            </w:pPr>
            <w:r>
              <w:rPr>
                <w:sz w:val="16"/>
              </w:rPr>
              <w:t>Sí</w:t>
            </w:r>
          </w:p>
        </w:tc>
        <w:tc>
          <w:tcPr>
            <w:tcW w:type="dxa" w:w="5442"/>
          </w:tcPr>
          <w:p>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trPr>
          <w:cantSplit w:val="true"/>
        </w:trPr>
        <w:tc>
          <w:tcPr>
            <w:tcW w:type="dxa" w:w="2381"/>
          </w:tcPr>
          <w:p>
            <w:pPr>
              <w:spacing w:after="40"/>
              <w:jc w:val="left"/>
            </w:pPr>
            <w:r>
              <w:rPr>
                <w:sz w:val="16"/>
              </w:rPr>
              <w:t>HU-05 Ver qué sobra y qué falta</w:t>
            </w:r>
          </w:p>
        </w:tc>
        <w:tc>
          <w:tcPr>
            <w:tcW w:type="dxa" w:w="1361"/>
          </w:tcPr>
          <w:p>
            <w:pPr>
              <w:spacing w:after="40"/>
              <w:jc w:val="left"/>
            </w:pPr>
            <w:r>
              <w:rPr>
                <w:sz w:val="16"/>
              </w:rPr>
              <w:t>Parcialmente</w:t>
            </w:r>
          </w:p>
        </w:tc>
        <w:tc>
          <w:tcPr>
            <w:tcW w:type="dxa" w:w="5442"/>
          </w:tcPr>
          <w:p>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trPr>
          <w:cantSplit w:val="true"/>
        </w:trPr>
        <w:tc>
          <w:tcPr>
            <w:tcW w:type="dxa" w:w="2381"/>
          </w:tcPr>
          <w:p>
            <w:pPr>
              <w:spacing w:after="40"/>
              <w:jc w:val="left"/>
            </w:pPr>
            <w:r>
              <w:rPr>
                <w:sz w:val="16"/>
              </w:rPr>
              <w:t>HU-06 Frenar lo que ya sobra</w:t>
            </w:r>
          </w:p>
        </w:tc>
        <w:tc>
          <w:tcPr>
            <w:tcW w:type="dxa" w:w="1361"/>
          </w:tcPr>
          <w:p>
            <w:pPr>
              <w:spacing w:after="40"/>
              <w:jc w:val="left"/>
            </w:pPr>
            <w:r>
              <w:rPr>
                <w:sz w:val="16"/>
              </w:rPr>
              <w:t>Sí</w:t>
            </w:r>
          </w:p>
        </w:tc>
        <w:tc>
          <w:tcPr>
            <w:tcW w:type="dxa" w:w="5442"/>
          </w:tcPr>
          <w:p>
            <w:pPr>
              <w:spacing w:after="40"/>
              <w:jc w:val="left"/>
            </w:pPr>
            <w:r>
              <w:rPr>
                <w:sz w:val="16"/>
              </w:rPr>
              <w:t>Los tres criterios: aparece en el filtro del mapa, la fecha de reapertura se respeta sola y un operador no asignado recibe rechazo</w:t>
            </w:r>
          </w:p>
        </w:tc>
      </w:tr>
      <w:tr>
        <w:trPr>
          <w:cantSplit w:val="true"/>
        </w:trPr>
        <w:tc>
          <w:tcPr>
            <w:tcW w:type="dxa" w:w="2381"/>
          </w:tcPr>
          <w:p>
            <w:pPr>
              <w:spacing w:after="40"/>
              <w:jc w:val="left"/>
            </w:pPr>
            <w:r>
              <w:rPr>
                <w:sz w:val="16"/>
              </w:rPr>
              <w:t>HU-07 Preparar una donación que pueda demostrar</w:t>
            </w:r>
          </w:p>
        </w:tc>
        <w:tc>
          <w:tcPr>
            <w:tcW w:type="dxa" w:w="1361"/>
          </w:tcPr>
          <w:p>
            <w:pPr>
              <w:spacing w:after="40"/>
              <w:jc w:val="left"/>
            </w:pPr>
            <w:r>
              <w:rPr>
                <w:sz w:val="16"/>
              </w:rPr>
              <w:t>Sí</w:t>
            </w:r>
          </w:p>
        </w:tc>
        <w:tc>
          <w:tcPr>
            <w:tcW w:type="dxa" w:w="5442"/>
          </w:tcPr>
          <w:p>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trPr>
          <w:cantSplit w:val="true"/>
        </w:trPr>
        <w:tc>
          <w:tcPr>
            <w:tcW w:type="dxa" w:w="2381"/>
          </w:tcPr>
          <w:p>
            <w:pPr>
              <w:spacing w:after="40"/>
              <w:jc w:val="left"/>
            </w:pPr>
            <w:r>
              <w:rPr>
                <w:sz w:val="16"/>
              </w:rPr>
              <w:t>HU-08 Conciliar sin depender de una foto</w:t>
            </w:r>
          </w:p>
        </w:tc>
        <w:tc>
          <w:tcPr>
            <w:tcW w:type="dxa" w:w="1361"/>
          </w:tcPr>
          <w:p>
            <w:pPr>
              <w:spacing w:after="40"/>
              <w:jc w:val="left"/>
            </w:pPr>
            <w:r>
              <w:rPr>
                <w:sz w:val="16"/>
              </w:rPr>
              <w:t>Sí</w:t>
            </w:r>
          </w:p>
        </w:tc>
        <w:tc>
          <w:tcPr>
            <w:tcW w:type="dxa" w:w="5442"/>
          </w:tcPr>
          <w:p>
            <w:pPr>
              <w:spacing w:after="40"/>
              <w:jc w:val="left"/>
            </w:pPr>
            <w:r>
              <w:rPr>
                <w:sz w:val="16"/>
              </w:rPr>
              <w:t>Conciliar deja quién y cuándo en la bitácora. Rechazar exige motivo, avisa al Donador por correo y no toca el inventario</w:t>
            </w:r>
          </w:p>
        </w:tc>
      </w:tr>
      <w:tr>
        <w:trPr>
          <w:cantSplit w:val="true"/>
        </w:trPr>
        <w:tc>
          <w:tcPr>
            <w:tcW w:type="dxa" w:w="2381"/>
          </w:tcPr>
          <w:p>
            <w:pPr>
              <w:spacing w:after="40"/>
              <w:jc w:val="left"/>
            </w:pPr>
            <w:r>
              <w:rPr>
                <w:sz w:val="16"/>
              </w:rPr>
              <w:t>HU-09 Comprobar que mi donación llegó</w:t>
            </w:r>
          </w:p>
        </w:tc>
        <w:tc>
          <w:tcPr>
            <w:tcW w:type="dxa" w:w="1361"/>
          </w:tcPr>
          <w:p>
            <w:pPr>
              <w:spacing w:after="40"/>
              <w:jc w:val="left"/>
            </w:pPr>
            <w:r>
              <w:rPr>
                <w:sz w:val="16"/>
              </w:rPr>
              <w:t>Sí</w:t>
            </w:r>
          </w:p>
        </w:tc>
        <w:tc>
          <w:tcPr>
            <w:tcW w:type="dxa" w:w="5442"/>
          </w:tcPr>
          <w:p>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calcula el ranking de sugerencias con su justificación; falta la pantalla del administrador</w:t>
            </w: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aprueba (crea la remisión en borrador y registra quién) y descarta con motivo obligatorio; falta la pantalla</w:t>
            </w:r>
          </w:p>
        </w:tc>
      </w:tr>
    </w:tbl>
    <w:p>
      <w:pPr>
        <w:spacing w:after="40"/>
      </w:pPr>
    </w:p>
    <w:p>
      <w:r>
        <w:t>De los 54 puntos comprometidos se terminaron 40 (HU-14, 04, 06, 07, 08 y 09). Quedan parciales 13 (HU-01 y HU-05) y sin empezar 6 (HU-02 y HU-15). De lo que no estaba comprometido avanzaron HU-10a y HU-10b, sin interfaz.</w:t>
      </w:r>
    </w:p>
    <w:p>
      <w:pPr>
        <w:pStyle w:val="Ttulo3"/>
      </w:pPr>
      <w:r>
        <w:t>Retrospectiva</w:t>
      </w:r>
    </w:p>
    <w:p>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r>
        <w:br w:type="page"/>
      </w:r>
    </w:p>
    <w:p>
      <w:pPr>
        <w:pStyle w:val="Ttulo1"/>
      </w:pPr>
      <w:r>
        <w:t>Anexo. Evidencia de las pruebas manuales</w:t>
      </w:r>
    </w:p>
    <w:p>
      <w:r>
        <w:t xml:space="preserve">Cada ficha es una petición de </w:t>
      </w:r>
      <w:r>
        <w:rPr>
          <w:rFonts w:ascii="Consolas" w:hAnsi="Consolas"/>
          <w:sz w:val="19"/>
        </w:rPr>
        <w:t>scripts/pruebas-manuales.sh</w:t>
      </w:r>
      <w:r>
        <w:t xml:space="preserve"> contra la API levantada con Docker Compose, con lo que se envió y lo que respondió la API. La contraseña y el token de sesión no se muestran: el token aparece como «&lt;token&gt;».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1. Estado del servicio (público)</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/api/salud</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"ok",</w:t>
              <w:br/>
            </w:r>
            <w:r>
              <w:rPr>
                <w:rFonts w:ascii="Consolas" w:hAnsi="Consolas"/>
                <w:b w:val="0"/>
                <w:sz w:val="16"/>
              </w:rPr>
              <w:t xml:space="preserve">  "base": "ok"</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2. Sin sesión, una ruta protegida responde 401</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/api/categorias</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401 Unauthorized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401,</w:t>
              <w:br/>
            </w:r>
            <w:r>
              <w:rPr>
                <w:rFonts w:ascii="Consolas" w:hAnsi="Consolas"/>
                <w:b w:val="0"/>
                <w:sz w:val="16"/>
              </w:rPr>
              <w:t xml:space="preserve">  "codigo": "NO_AUTENTICADO",</w:t>
              <w:br/>
            </w:r>
            <w:r>
              <w:rPr>
                <w:rFonts w:ascii="Consolas" w:hAnsi="Consolas"/>
                <w:b w:val="0"/>
                <w:sz w:val="16"/>
              </w:rPr>
              <w:t xml:space="preserve">  "mensaje": "Falta la sesión"</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3. Inicio de sesión del administrador</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POST /api/auth/sesion</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{"usuario":"admin","contrasena":"********"}</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Cookie</w:t>
            </w:r>
          </w:p>
        </w:tc>
        <w:tc>
          <w:tcPr>
            <w:tcW w:type="dxa" w:w="7710"/>
          </w:tcPr>
          <w:p>
            <w:pPr>
              <w:spacing w:after="20"/>
              <w:jc w:val="left"/>
            </w:pPr>
            <w:r>
              <w:rPr>
                <w:rFonts w:ascii="Consolas" w:hAnsi="Consolas"/>
                <w:b w:val="0"/>
                <w:sz w:val="16"/>
              </w:rPr>
              <w:t>acopio_sesion=&lt;token&gt;; Max-Age=28799; Path=/api; Expires=Thu, 08 Oct 2026 03:14:01 GMT; HttpOnly; SameSite=Strict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4. Quién soy</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/api/auth/yo</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"c17b10e6-f29c-405e-987f-3e883c5b1b8a",</w:t>
              <w:br/>
            </w:r>
            <w:r>
              <w:rPr>
                <w:rFonts w:ascii="Consolas" w:hAnsi="Consolas"/>
                <w:b w:val="0"/>
                <w:sz w:val="16"/>
              </w:rPr>
              <w:t xml:space="preserve">  "username": "admin",</w:t>
              <w:br/>
            </w:r>
            <w:r>
              <w:rPr>
                <w:rFonts w:ascii="Consolas" w:hAnsi="Consolas"/>
                <w:b w:val="0"/>
                <w:sz w:val="16"/>
              </w:rPr>
              <w:t xml:space="preserve">  "nombre": "Administrador",</w:t>
              <w:br/>
            </w:r>
            <w:r>
              <w:rPr>
                <w:rFonts w:ascii="Consolas" w:hAnsi="Consolas"/>
                <w:b w:val="0"/>
                <w:sz w:val="16"/>
              </w:rPr>
              <w:t xml:space="preserve">  "rol": "ADMIN",</w:t>
              <w:br/>
            </w:r>
            <w:r>
              <w:rPr>
                <w:rFonts w:ascii="Consolas" w:hAnsi="Consolas"/>
                <w:b w:val="0"/>
                <w:sz w:val="16"/>
              </w:rPr>
              <w:t xml:space="preserve">  "alcanceGlobal": true,</w:t>
              <w:br/>
            </w:r>
            <w:r>
              <w:rPr>
                <w:rFonts w:ascii="Consolas" w:hAnsi="Consolas"/>
                <w:b w:val="0"/>
                <w:sz w:val="16"/>
              </w:rPr>
              <w:t xml:space="preserve">  "asignaciones": []</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5. Crear una categoría (C de CRUD)</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POST /api/categorias</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{"nombre":"Pilas AA prueba 141401","grupo":"HERRAMIENTAS","unidadBase":"UNIDAD","sinonimos":["baterías"]}</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201 Created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"a20cbde5-68fe-4279-8942-d156e67e3b09",</w:t>
              <w:br/>
            </w:r>
            <w:r>
              <w:rPr>
                <w:rFonts w:ascii="Consolas" w:hAnsi="Consolas"/>
                <w:b w:val="0"/>
                <w:sz w:val="16"/>
              </w:rPr>
              <w:t xml:space="preserve">  "nombre": "Pilas AA prueba 141401",</w:t>
              <w:br/>
            </w:r>
            <w:r>
              <w:rPr>
                <w:rFonts w:ascii="Consolas" w:hAnsi="Consolas"/>
                <w:b w:val="0"/>
                <w:sz w:val="16"/>
              </w:rPr>
              <w:t xml:space="preserve">  "grupo": "HERRAMIENTAS",</w:t>
              <w:br/>
            </w:r>
            <w:r>
              <w:rPr>
                <w:rFonts w:ascii="Consolas" w:hAnsi="Consolas"/>
                <w:b w:val="0"/>
                <w:sz w:val="16"/>
              </w:rPr>
              <w:t xml:space="preserve">  "unidadBase": "UNIDAD",</w:t>
              <w:br/>
            </w:r>
            <w:r>
              <w:rPr>
                <w:rFonts w:ascii="Consolas" w:hAnsi="Consolas"/>
                <w:b w:val="0"/>
                <w:sz w:val="16"/>
              </w:rPr>
              <w:t xml:space="preserve">  "perecedero": false,</w:t>
              <w:br/>
            </w:r>
            <w:r>
              <w:rPr>
                <w:rFonts w:ascii="Consolas" w:hAnsi="Consolas"/>
                <w:b w:val="0"/>
                <w:sz w:val="16"/>
              </w:rPr>
              <w:t xml:space="preserve">  "sinonimos": [</w:t>
              <w:br/>
            </w:r>
            <w:r>
              <w:rPr>
                <w:rFonts w:ascii="Consolas" w:hAnsi="Consolas"/>
                <w:b w:val="0"/>
                <w:sz w:val="16"/>
              </w:rPr>
              <w:t xml:space="preserve">    "baterías"</w:t>
              <w:br/>
            </w:r>
            <w:r>
              <w:rPr>
                <w:rFonts w:ascii="Consolas" w:hAnsi="Consolas"/>
                <w:b w:val="0"/>
                <w:sz w:val="16"/>
              </w:rPr>
              <w:t xml:space="preserve">  ],</w:t>
              <w:br/>
            </w:r>
            <w:r>
              <w:rPr>
                <w:rFonts w:ascii="Consolas" w:hAnsi="Consolas"/>
                <w:b w:val="0"/>
                <w:sz w:val="16"/>
              </w:rPr>
              <w:t xml:space="preserve">  "archivada": false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6. Consultar la categoría creada (R)</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"a20cbde5-68fe-4279-8942-d156e67e3b09",</w:t>
              <w:br/>
            </w:r>
            <w:r>
              <w:rPr>
                <w:rFonts w:ascii="Consolas" w:hAnsi="Consolas"/>
                <w:b w:val="0"/>
                <w:sz w:val="16"/>
              </w:rPr>
              <w:t xml:space="preserve">  "nombre": "Pilas AA prueba 141401",</w:t>
              <w:br/>
            </w:r>
            <w:r>
              <w:rPr>
                <w:rFonts w:ascii="Consolas" w:hAnsi="Consolas"/>
                <w:b w:val="0"/>
                <w:sz w:val="16"/>
              </w:rPr>
              <w:t xml:space="preserve">  "grupo": "HERRAMIENTAS",</w:t>
              <w:br/>
            </w:r>
            <w:r>
              <w:rPr>
                <w:rFonts w:ascii="Consolas" w:hAnsi="Consolas"/>
                <w:b w:val="0"/>
                <w:sz w:val="16"/>
              </w:rPr>
              <w:t xml:space="preserve">  "unidadBase": "UNIDAD",</w:t>
              <w:br/>
            </w:r>
            <w:r>
              <w:rPr>
                <w:rFonts w:ascii="Consolas" w:hAnsi="Consolas"/>
                <w:b w:val="0"/>
                <w:sz w:val="16"/>
              </w:rPr>
              <w:t xml:space="preserve">  "perecedero": false,</w:t>
              <w:br/>
            </w:r>
            <w:r>
              <w:rPr>
                <w:rFonts w:ascii="Consolas" w:hAnsi="Consolas"/>
                <w:b w:val="0"/>
                <w:sz w:val="16"/>
              </w:rPr>
              <w:t xml:space="preserve">  "sinonimos": [</w:t>
              <w:br/>
            </w:r>
            <w:r>
              <w:rPr>
                <w:rFonts w:ascii="Consolas" w:hAnsi="Consolas"/>
                <w:b w:val="0"/>
                <w:sz w:val="16"/>
              </w:rPr>
              <w:t xml:space="preserve">    "baterías"</w:t>
              <w:br/>
            </w:r>
            <w:r>
              <w:rPr>
                <w:rFonts w:ascii="Consolas" w:hAnsi="Consolas"/>
                <w:b w:val="0"/>
                <w:sz w:val="16"/>
              </w:rPr>
              <w:t xml:space="preserve">  ],</w:t>
              <w:br/>
            </w:r>
            <w:r>
              <w:rPr>
                <w:rFonts w:ascii="Consolas" w:hAnsi="Consolas"/>
                <w:b w:val="0"/>
                <w:sz w:val="16"/>
              </w:rPr>
              <w:t xml:space="preserve">  "archivada": false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7. Modificarla (U)</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PATCH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{"perecedero":false,"sinonimos":["baterías","pilas doble A"]}</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"a20cbde5-68fe-4279-8942-d156e67e3b09",</w:t>
              <w:br/>
            </w:r>
            <w:r>
              <w:rPr>
                <w:rFonts w:ascii="Consolas" w:hAnsi="Consolas"/>
                <w:b w:val="0"/>
                <w:sz w:val="16"/>
              </w:rPr>
              <w:t xml:space="preserve">  "nombre": "Pilas AA prueba 141401",</w:t>
              <w:br/>
            </w:r>
            <w:r>
              <w:rPr>
                <w:rFonts w:ascii="Consolas" w:hAnsi="Consolas"/>
                <w:b w:val="0"/>
                <w:sz w:val="16"/>
              </w:rPr>
              <w:t xml:space="preserve">  "grupo": "HERRAMIENTAS",</w:t>
              <w:br/>
            </w:r>
            <w:r>
              <w:rPr>
                <w:rFonts w:ascii="Consolas" w:hAnsi="Consolas"/>
                <w:b w:val="0"/>
                <w:sz w:val="16"/>
              </w:rPr>
              <w:t xml:space="preserve">  "unidadBase": "UNIDAD",</w:t>
              <w:br/>
            </w:r>
            <w:r>
              <w:rPr>
                <w:rFonts w:ascii="Consolas" w:hAnsi="Consolas"/>
                <w:b w:val="0"/>
                <w:sz w:val="16"/>
              </w:rPr>
              <w:t xml:space="preserve">  "perecedero": false,</w:t>
              <w:br/>
            </w:r>
            <w:r>
              <w:rPr>
                <w:rFonts w:ascii="Consolas" w:hAnsi="Consolas"/>
                <w:b w:val="0"/>
                <w:sz w:val="16"/>
              </w:rPr>
              <w:t xml:space="preserve">  "sinonimos": [</w:t>
              <w:br/>
            </w:r>
            <w:r>
              <w:rPr>
                <w:rFonts w:ascii="Consolas" w:hAnsi="Consolas"/>
                <w:b w:val="0"/>
                <w:sz w:val="16"/>
              </w:rPr>
              <w:t xml:space="preserve">    "baterías",</w:t>
              <w:br/>
            </w:r>
            <w:r>
              <w:rPr>
                <w:rFonts w:ascii="Consolas" w:hAnsi="Consolas"/>
                <w:b w:val="0"/>
                <w:sz w:val="16"/>
              </w:rPr>
              <w:t xml:space="preserve">    "pilas doble A"</w:t>
              <w:br/>
            </w:r>
            <w:r>
              <w:rPr>
                <w:rFonts w:ascii="Consolas" w:hAnsi="Consolas"/>
                <w:b w:val="0"/>
                <w:sz w:val="16"/>
              </w:rPr>
              <w:t xml:space="preserve">  ],</w:t>
              <w:br/>
            </w:r>
            <w:r>
              <w:rPr>
                <w:rFonts w:ascii="Consolas" w:hAnsi="Consolas"/>
                <w:b w:val="0"/>
                <w:sz w:val="16"/>
              </w:rPr>
              <w:t xml:space="preserve">  "archivada": false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8. Validación: falta la unidad base, responde 400 con el detalle</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POST /api/categorias</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{"nombre":"Sin unidad","grupo":"HERRAMIENTAS"}</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400 Bad Request</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400,</w:t>
              <w:br/>
            </w:r>
            <w:r>
              <w:rPr>
                <w:rFonts w:ascii="Consolas" w:hAnsi="Consolas"/>
                <w:b w:val="0"/>
                <w:sz w:val="16"/>
              </w:rPr>
              <w:t xml:space="preserve">  "codigo": "VALIDACION",</w:t>
              <w:br/>
            </w:r>
            <w:r>
              <w:rPr>
                <w:rFonts w:ascii="Consolas" w:hAnsi="Consolas"/>
                <w:b w:val="0"/>
                <w:sz w:val="16"/>
              </w:rPr>
              <w:t xml:space="preserve">  "mensaje": "Hay datos inválidos en la solicitud",</w:t>
              <w:br/>
            </w:r>
            <w:r>
              <w:rPr>
                <w:rFonts w:ascii="Consolas" w:hAnsi="Consolas"/>
                <w:b w:val="0"/>
                <w:sz w:val="16"/>
              </w:rPr>
              <w:t xml:space="preserve">  "detalles": [</w:t>
              <w:br/>
            </w:r>
            <w:r>
              <w:rPr>
                <w:rFonts w:ascii="Consolas" w:hAnsi="Consolas"/>
                <w:b w:val="0"/>
                <w:sz w:val="16"/>
              </w:rPr>
              <w:t xml:space="preserve">    {</w:t>
              <w:br/>
            </w:r>
            <w:r>
              <w:rPr>
                <w:rFonts w:ascii="Consolas" w:hAnsi="Consolas"/>
                <w:b w:val="0"/>
                <w:sz w:val="16"/>
              </w:rPr>
              <w:t xml:space="preserve">      "campo": "unidadBase",</w:t>
              <w:br/>
            </w:r>
            <w:r>
              <w:rPr>
                <w:rFonts w:ascii="Consolas" w:hAnsi="Consolas"/>
                <w:b w:val="0"/>
                <w:sz w:val="16"/>
              </w:rPr>
              <w:t xml:space="preserve">      "mensaje": "Opción inválida: se esperaba una de \"LITRO\"|\"KILOGRAMO\"|\"UNIDAD\""</w:t>
              <w:br/>
            </w:r>
            <w:r>
              <w:rPr>
                <w:rFonts w:ascii="Consolas" w:hAnsi="Consolas"/>
                <w:b w:val="0"/>
                <w:sz w:val="16"/>
              </w:rPr>
              <w:t xml:space="preserve">    }</w:t>
              <w:br/>
            </w:r>
            <w:r>
              <w:rPr>
                <w:rFonts w:ascii="Consolas" w:hAnsi="Consolas"/>
                <w:b w:val="0"/>
                <w:sz w:val="16"/>
              </w:rPr>
              <w:t xml:space="preserve">  ]</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9. Borrarla (D)</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DELETE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204 No Content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10. Ya no existe: 404 con el formato único de error</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404 Not Found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404,</w:t>
              <w:br/>
            </w:r>
            <w:r>
              <w:rPr>
                <w:rFonts w:ascii="Consolas" w:hAnsi="Consolas"/>
                <w:b w:val="0"/>
                <w:sz w:val="16"/>
              </w:rPr>
              <w:t xml:space="preserve">  "codigo": "CATEGORIA_NO_ENCONTRADA",</w:t>
              <w:br/>
            </w:r>
            <w:r>
              <w:rPr>
                <w:rFonts w:ascii="Consolas" w:hAnsi="Consolas"/>
                <w:b w:val="0"/>
                <w:sz w:val="16"/>
              </w:rPr>
              <w:t xml:space="preserve">  "mensaje": "La categoría no existe"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11. Seguimiento público de un folio que no existe: mensaje genérico</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/api/seguimiento/DON-0000-0000</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404 Not Found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404,</w:t>
              <w:br/>
            </w:r>
            <w:r>
              <w:rPr>
                <w:rFonts w:ascii="Consolas" w:hAnsi="Consolas"/>
                <w:b w:val="0"/>
                <w:sz w:val="16"/>
              </w:rPr>
              <w:t xml:space="preserve">  "codigo": "FOLIO_NO_ENCONTRADO",</w:t>
              <w:br/>
            </w:r>
            <w:r>
              <w:rPr>
                <w:rFonts w:ascii="Consolas" w:hAnsi="Consolas"/>
                <w:b w:val="0"/>
                <w:sz w:val="16"/>
              </w:rPr>
              <w:t xml:space="preserve">  "mensaje": "No encontramos ese folio"</w:t>
              <w:br/>
            </w:r>
            <w:r>
              <w:rPr>
                <w:rFonts w:ascii="Consolas" w:hAnsi="Consolas"/>
                <w:b w:val="0"/>
                <w:sz w:val="16"/>
              </w:rPr>
              <w:t>}</w:t>
            </w:r>
          </w:p>
        </w:tc>
      </w:tr>
    </w:tbl>
    <w:p>
      <w:pPr>
        <w:spacing w:after="80"/>
      </w:pPr>
    </w:p>
    <w:p>
      <w:pPr>
        <w:pStyle w:val="Ttulo2"/>
      </w:pPr>
      <w:r>
        <w:t>Contenedores y volúmenes</w:t>
      </w:r>
    </w:p>
    <w:p>
      <w:r>
        <w:t xml:space="preserve">Salida de </w:t>
      </w:r>
      <w:r>
        <w:rPr>
          <w:rFonts w:ascii="Consolas" w:hAnsi="Consolas"/>
          <w:sz w:val="19"/>
        </w:rPr>
        <w:t>docker ps</w:t>
      </w:r>
      <w:r>
        <w:t xml:space="preserve"> el mismo día: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4 hours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4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4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4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r>
        <w:br w:type="page"/>
      </w:r>
    </w:p>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las toman los recorridos de punta a punta mientras recorren cada flujo en un navegador real, con datos de la base de la demo, a 360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pStyle w:val="Vineta"/>
      </w:pPr>
      <w:r>
        <w:t xml:space="preserve">2. </w:t>
      </w:r>
      <w:r>
        <w:t xml:space="preserve">Un traslado aprobado se vuelve una </w:t>
      </w:r>
      <w:r>
        <w:rPr>
          <w:b/>
        </w:rPr>
        <w:t>remisión</w:t>
      </w:r>
      <w:r>
        <w:t xml:space="preserve"> en borrador (C12). El Administrador la revisa y la despacha; entonces pasa a «En tránsito».</w:t>
      </w:r>
    </w:p>
    <w:p>
      <w:pPr>
        <w:pStyle w:val="Vineta"/>
      </w:pPr>
      <w:r>
        <w:t xml:space="preserve">3. </w:t>
      </w:r>
      <w:r>
        <w:t xml:space="preserve">La remisión despachada tiene su </w:t>
      </w:r>
      <w:r>
        <w:rPr>
          <w:b/>
        </w:rPr>
        <w:t>documento</w:t>
      </w:r>
      <w:r>
        <w:t xml:space="preserve"> para imprimir, con el código, el QR, las cantidades y los espacios para las firmas de quien entrega y quien recibe.</w:t>
      </w:r>
    </w:p>
    <w:p>
      <w:pPr>
        <w:pStyle w:val="Vineta"/>
      </w:pPr>
      <w:r>
        <w:t xml:space="preserve">4.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pPr>
      <w:r>
        <w:t>HU-13 Contar lo que la fórmula no ve se cubre desde «Mi zona»: el Receptor reporta una necesidad que el cálculo no conoce, y el motor la toma en cuenta al recalcular.</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4" name="Picture 1"/>
                  <wp:cNvGraphicFramePr>
                    <a:graphicFrameLocks noChangeAspect="1"/>
                  </wp:cNvGraphicFramePr>
                  <a:graphic>
                    <a:graphicData uri="http://schemas.openxmlformats.org/drawingml/2006/picture">
                      <pic:pic>
                        <pic:nvPicPr>
                          <pic:cNvPr id="24" name="motor-1-sugerencias.png"/>
                          <pic:cNvPicPr/>
                        </pic:nvPicPr>
                        <pic:blipFill>
                          <a:blip r:embed="rId50"/>
                          <a:stretch>
                            <a:fillRect/>
                          </a:stretch>
                        </pic:blipFill>
                        <pic:spPr>
                          <a:xfrm>
                            <a:off x="0" y="0"/>
                            <a:ext cx="1655946" cy="2943904"/>
                          </a:xfrm>
                          <a:prstGeom prst="rect"/>
                        </pic:spPr>
                      </pic:pic>
                    </a:graphicData>
                  </a:graphic>
                </wp:inline>
              </w:drawing>
            </w:r>
          </w:p>
          <w:p>
            <w:pPr>
              <w:jc w:val="center"/>
            </w:pPr>
            <w:r>
              <w:rPr>
                <w:b/>
                <w:color w:val="57534E"/>
                <w:sz w:val="16"/>
              </w:rPr>
              <w:t xml:space="preserve">Figura 1. </w:t>
            </w:r>
            <w:r>
              <w:rPr>
                <w:color w:val="57534E"/>
                <w:sz w:val="16"/>
              </w:rPr>
              <w:t>Motor de sugerencias (C11): traslados sugeridos con su puntaje.</w:t>
            </w:r>
          </w:p>
        </w:tc>
        <w:tc>
          <w:tcPr>
            <w:tcW w:type="dxa" w:w="3061"/>
          </w:tcPr>
          <w:p>
            <w:pPr>
              <w:jc w:val="center"/>
            </w:pPr>
            <w:r>
              <w:drawing>
                <wp:inline xmlns:a="http://schemas.openxmlformats.org/drawingml/2006/main" xmlns:pic="http://schemas.openxmlformats.org/drawingml/2006/picture">
                  <wp:extent cx="1655946" cy="2943904"/>
                  <wp:docPr id="25" name="Picture 2"/>
                  <wp:cNvGraphicFramePr>
                    <a:graphicFrameLocks noChangeAspect="1"/>
                  </wp:cNvGraphicFramePr>
                  <a:graphic>
                    <a:graphicData uri="http://schemas.openxmlformats.org/drawingml/2006/picture">
                      <pic:pic>
                        <pic:nvPicPr>
                          <pic:cNvPr id="25" name="motor-2-aprobar.png"/>
                          <pic:cNvPicPr/>
                        </pic:nvPicPr>
                        <pic:blipFill>
                          <a:blip r:embed="rId51"/>
                          <a:stretch>
                            <a:fillRect/>
                          </a:stretch>
                        </pic:blipFill>
                        <pic:spPr>
                          <a:xfrm>
                            <a:off x="0" y="0"/>
                            <a:ext cx="1655946" cy="2943904"/>
                          </a:xfrm>
                          <a:prstGeom prst="rect"/>
                        </pic:spPr>
                      </pic:pic>
                    </a:graphicData>
                  </a:graphic>
                </wp:inline>
              </w:drawing>
            </w:r>
          </w:p>
          <w:p>
            <w:pPr>
              <w:jc w:val="center"/>
            </w:pPr>
            <w:r>
              <w:rPr>
                <w:b/>
                <w:color w:val="57534E"/>
                <w:sz w:val="16"/>
              </w:rPr>
              <w:t xml:space="preserve">Figura 2. </w:t>
            </w:r>
            <w:r>
              <w:rPr>
                <w:color w:val="57534E"/>
                <w:sz w:val="16"/>
              </w:rPr>
              <w:t>Aprobar un traslado: la cantidad sugerida y la remisión en borrador que se crea.</w:t>
            </w:r>
          </w:p>
        </w:tc>
        <w:tc>
          <w:tcPr>
            <w:tcW w:type="dxa" w:w="3061"/>
          </w:tcPr>
          <w:p>
            <w:pPr>
              <w:jc w:val="center"/>
            </w:pPr>
            <w:r>
              <w:drawing>
                <wp:inline xmlns:a="http://schemas.openxmlformats.org/drawingml/2006/main" xmlns:pic="http://schemas.openxmlformats.org/drawingml/2006/picture">
                  <wp:extent cx="1655946" cy="2943904"/>
                  <wp:docPr id="26" name="Picture 3"/>
                  <wp:cNvGraphicFramePr>
                    <a:graphicFrameLocks noChangeAspect="1"/>
                  </wp:cNvGraphicFramePr>
                  <a:graphic>
                    <a:graphicData uri="http://schemas.openxmlformats.org/drawingml/2006/picture">
                      <pic:pic>
                        <pic:nvPicPr>
                          <pic:cNvPr id="26" name="motor-3-despachar.png"/>
                          <pic:cNvPicPr/>
                        </pic:nvPicPr>
                        <pic:blipFill>
                          <a:blip r:embed="rId52"/>
                          <a:stretch>
                            <a:fillRect/>
                          </a:stretch>
                        </pic:blipFill>
                        <pic:spPr>
                          <a:xfrm>
                            <a:off x="0" y="0"/>
                            <a:ext cx="1655946" cy="2943904"/>
                          </a:xfrm>
                          <a:prstGeom prst="rect"/>
                        </pic:spPr>
                      </pic:pic>
                    </a:graphicData>
                  </a:graphic>
                </wp:inline>
              </w:drawing>
            </w:r>
          </w:p>
          <w:p>
            <w:pPr>
              <w:jc w:val="center"/>
            </w:pPr>
            <w:r>
              <w:rPr>
                <w:b/>
                <w:color w:val="57534E"/>
                <w:sz w:val="16"/>
              </w:rPr>
              <w:t xml:space="preserve">Figura 3. </w:t>
            </w:r>
            <w:r>
              <w:rPr>
                <w:color w:val="57534E"/>
                <w:sz w:val="16"/>
              </w:rPr>
              <w:t>Despachar la remisión (C12): quién lleva el envío y qué folios van.</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7" name="Picture 4"/>
                  <wp:cNvGraphicFramePr>
                    <a:graphicFrameLocks noChangeAspect="1"/>
                  </wp:cNvGraphicFramePr>
                  <a:graphic>
                    <a:graphicData uri="http://schemas.openxmlformats.org/drawingml/2006/picture">
                      <pic:pic>
                        <pic:nvPicPr>
                          <pic:cNvPr id="27" name="motor-4-documento.png"/>
                          <pic:cNvPicPr/>
                        </pic:nvPicPr>
                        <pic:blipFill>
                          <a:blip r:embed="rId53"/>
                          <a:stretch>
                            <a:fillRect/>
                          </a:stretch>
                        </pic:blipFill>
                        <pic:spPr>
                          <a:xfrm>
                            <a:off x="0" y="0"/>
                            <a:ext cx="1655946" cy="2943904"/>
                          </a:xfrm>
                          <a:prstGeom prst="rect"/>
                        </pic:spPr>
                      </pic:pic>
                    </a:graphicData>
                  </a:graphic>
                </wp:inline>
              </w:drawing>
            </w:r>
          </w:p>
          <w:p>
            <w:pPr>
              <w:jc w:val="center"/>
            </w:pPr>
            <w:r>
              <w:rPr>
                <w:b/>
                <w:color w:val="57534E"/>
                <w:sz w:val="16"/>
              </w:rPr>
              <w:t xml:space="preserve">Figura 4. </w:t>
            </w:r>
            <w:r>
              <w:rPr>
                <w:color w:val="57534E"/>
                <w:sz w:val="16"/>
              </w:rPr>
              <w:t>Documento de la remisión despachada, con su QR.</w:t>
            </w:r>
          </w:p>
        </w:tc>
        <w:tc>
          <w:tcPr>
            <w:tcW w:type="dxa" w:w="3061"/>
          </w:tcPr>
          <w:p>
            <w:pPr>
              <w:jc w:val="center"/>
            </w:pPr>
            <w:r>
              <w:drawing>
                <wp:inline xmlns:a="http://schemas.openxmlformats.org/drawingml/2006/main" xmlns:pic="http://schemas.openxmlformats.org/drawingml/2006/picture">
                  <wp:extent cx="1655946" cy="2943904"/>
                  <wp:docPr id="28" name="Picture 5"/>
                  <wp:cNvGraphicFramePr>
                    <a:graphicFrameLocks noChangeAspect="1"/>
                  </wp:cNvGraphicFramePr>
                  <a:graphic>
                    <a:graphicData uri="http://schemas.openxmlformats.org/drawingml/2006/picture">
                      <pic:pic>
                        <pic:nvPicPr>
                          <pic:cNvPr id="28" name="motor-5-recibir.png"/>
                          <pic:cNvPicPr/>
                        </pic:nvPicPr>
                        <pic:blipFill>
                          <a:blip r:embed="rId54"/>
                          <a:stretch>
                            <a:fillRect/>
                          </a:stretch>
                        </pic:blipFill>
                        <pic:spPr>
                          <a:xfrm>
                            <a:off x="0" y="0"/>
                            <a:ext cx="1655946" cy="2943904"/>
                          </a:xfrm>
                          <a:prstGeom prst="rect"/>
                        </pic:spPr>
                      </pic:pic>
                    </a:graphicData>
                  </a:graphic>
                </wp:inline>
              </w:drawing>
            </w:r>
          </w:p>
          <w:p>
            <w:pPr>
              <w:jc w:val="center"/>
            </w:pPr>
            <w:r>
              <w:rPr>
                <w:b/>
                <w:color w:val="57534E"/>
                <w:sz w:val="16"/>
              </w:rPr>
              <w:t xml:space="preserve">Figura 5. </w:t>
            </w:r>
            <w:r>
              <w:rPr>
                <w:color w:val="57534E"/>
                <w:sz w:val="16"/>
              </w:rPr>
              <w:t>Recibir en la zona (C13): lo que llegó, la foto y la nota.</w:t>
            </w:r>
          </w:p>
        </w:tc>
        <w:tc>
          <w:tcPr>
            <w:tcW w:type="dxa" w:w="3061"/>
          </w:tcPr>
          <w:p>
            <w:pPr>
              <w:jc w:val="center"/>
            </w:pPr>
            <w:r>
              <w:drawing>
                <wp:inline xmlns:a="http://schemas.openxmlformats.org/drawingml/2006/main" xmlns:pic="http://schemas.openxmlformats.org/drawingml/2006/picture">
                  <wp:extent cx="1655946" cy="2943904"/>
                  <wp:docPr id="29" name="Picture 6"/>
                  <wp:cNvGraphicFramePr>
                    <a:graphicFrameLocks noChangeAspect="1"/>
                  </wp:cNvGraphicFramePr>
                  <a:graphic>
                    <a:graphicData uri="http://schemas.openxmlformats.org/drawingml/2006/picture">
                      <pic:pic>
                        <pic:nvPicPr>
                          <pic:cNvPr id="29" name="motor-6-recibida.png"/>
                          <pic:cNvPicPr/>
                        </pic:nvPicPr>
                        <pic:blipFill>
                          <a:blip r:embed="rId55"/>
                          <a:stretch>
                            <a:fillRect/>
                          </a:stretch>
                        </pic:blipFill>
                        <pic:spPr>
                          <a:xfrm>
                            <a:off x="0" y="0"/>
                            <a:ext cx="1655946" cy="2943904"/>
                          </a:xfrm>
                          <a:prstGeom prst="rect"/>
                        </pic:spPr>
                      </pic:pic>
                    </a:graphicData>
                  </a:graphic>
                </wp:inline>
              </w:drawing>
            </w:r>
          </w:p>
          <w:p>
            <w:pPr>
              <w:jc w:val="center"/>
            </w:pPr>
            <w:r>
              <w:rPr>
                <w:b/>
                <w:color w:val="57534E"/>
                <w:sz w:val="16"/>
              </w:rPr>
              <w:t xml:space="preserve">Figura 6. </w:t>
            </w:r>
            <w:r>
              <w:rPr>
                <w:color w:val="57534E"/>
                <w:sz w:val="16"/>
              </w:rPr>
              <w:t>Confirmación de la remisión recibida.</w:t>
            </w:r>
          </w:p>
        </w:tc>
      </w:tr>
    </w:tbl>
    <w:p>
      <w:pPr>
        <w:spacing w:after="80"/>
      </w:pP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pStyle w:val="Vineta"/>
      </w:pPr>
      <w:r>
        <w:t xml:space="preserve">2. </w:t>
      </w:r>
      <w:r>
        <w:t xml:space="preserve">La </w:t>
      </w:r>
      <w:r>
        <w:rPr>
          <w:b/>
        </w:rPr>
        <w:t>ficha de la causa</w:t>
      </w:r>
      <w:r>
        <w:t xml:space="preserve"> (P4) muestra la entidad, el paso a paso para donar y el enlace al sitio oficial.</w:t>
      </w:r>
    </w:p>
    <w:p>
      <w:pPr>
        <w:pStyle w:val="Vineta"/>
      </w:pPr>
      <w:r>
        <w:t xml:space="preserve">3. </w:t>
      </w:r>
      <w:r>
        <w:t>Al tocar «Ir al sitio oficial», una hoja avisa que la persona sale de Acopio y que Acopio no recibe dinero ni ve sus pagos. Solo después de confirmar se abre el sitio.</w:t>
      </w:r>
    </w:p>
    <w:p>
      <w:pPr>
        <w:pStyle w:val="Vineta"/>
        <w:keepNext/>
      </w:pPr>
      <w:r>
        <w:t xml:space="preserve">4.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0" name="Picture 7"/>
                  <wp:cNvGraphicFramePr>
                    <a:graphicFrameLocks noChangeAspect="1"/>
                  </wp:cNvGraphicFramePr>
                  <a:graphic>
                    <a:graphicData uri="http://schemas.openxmlformats.org/drawingml/2006/picture">
                      <pic:pic>
                        <pic:nvPicPr>
                          <pic:cNvPr id="30" name="causas-1-directorio.png"/>
                          <pic:cNvPicPr/>
                        </pic:nvPicPr>
                        <pic:blipFill>
                          <a:blip r:embed="rId56"/>
                          <a:stretch>
                            <a:fillRect/>
                          </a:stretch>
                        </pic:blipFill>
                        <pic:spPr>
                          <a:xfrm>
                            <a:off x="0" y="0"/>
                            <a:ext cx="1655946" cy="2943904"/>
                          </a:xfrm>
                          <a:prstGeom prst="rect"/>
                        </pic:spPr>
                      </pic:pic>
                    </a:graphicData>
                  </a:graphic>
                </wp:inline>
              </w:drawing>
            </w:r>
          </w:p>
          <w:p>
            <w:pPr>
              <w:jc w:val="center"/>
            </w:pPr>
            <w:r>
              <w:rPr>
                <w:b/>
                <w:color w:val="57534E"/>
                <w:sz w:val="16"/>
              </w:rPr>
              <w:t xml:space="preserve">Figura 7. </w:t>
            </w:r>
            <w:r>
              <w:rPr>
                <w:color w:val="57534E"/>
                <w:sz w:val="16"/>
              </w:rPr>
              <w:t>Directorio de causas (P3), solo de entidades verificadas.</w:t>
            </w:r>
          </w:p>
        </w:tc>
        <w:tc>
          <w:tcPr>
            <w:tcW w:type="dxa" w:w="3061"/>
          </w:tcPr>
          <w:p>
            <w:pPr>
              <w:jc w:val="center"/>
            </w:pPr>
            <w:r>
              <w:drawing>
                <wp:inline xmlns:a="http://schemas.openxmlformats.org/drawingml/2006/main" xmlns:pic="http://schemas.openxmlformats.org/drawingml/2006/picture">
                  <wp:extent cx="1655946" cy="2943904"/>
                  <wp:docPr id="31" name="Picture 8"/>
                  <wp:cNvGraphicFramePr>
                    <a:graphicFrameLocks noChangeAspect="1"/>
                  </wp:cNvGraphicFramePr>
                  <a:graphic>
                    <a:graphicData uri="http://schemas.openxmlformats.org/drawingml/2006/picture">
                      <pic:pic>
                        <pic:nvPicPr>
                          <pic:cNvPr id="31" name="causas-2-ficha.png"/>
                          <pic:cNvPicPr/>
                        </pic:nvPicPr>
                        <pic:blipFill>
                          <a:blip r:embed="rId57"/>
                          <a:stretch>
                            <a:fillRect/>
                          </a:stretch>
                        </pic:blipFill>
                        <pic:spPr>
                          <a:xfrm>
                            <a:off x="0" y="0"/>
                            <a:ext cx="1655946" cy="2943904"/>
                          </a:xfrm>
                          <a:prstGeom prst="rect"/>
                        </pic:spPr>
                      </pic:pic>
                    </a:graphicData>
                  </a:graphic>
                </wp:inline>
              </w:drawing>
            </w:r>
          </w:p>
          <w:p>
            <w:pPr>
              <w:jc w:val="center"/>
            </w:pPr>
            <w:r>
              <w:rPr>
                <w:b/>
                <w:color w:val="57534E"/>
                <w:sz w:val="16"/>
              </w:rPr>
              <w:t xml:space="preserve">Figura 8. </w:t>
            </w:r>
            <w:r>
              <w:rPr>
                <w:color w:val="57534E"/>
                <w:sz w:val="16"/>
              </w:rPr>
              <w:t>Ficha de una causa (P4), con su imagen, la entidad y el paso a paso.</w:t>
            </w:r>
          </w:p>
        </w:tc>
        <w:tc>
          <w:tcPr>
            <w:tcW w:type="dxa" w:w="3061"/>
          </w:tcPr>
          <w:p>
            <w:pPr>
              <w:jc w:val="center"/>
            </w:pPr>
            <w:r>
              <w:drawing>
                <wp:inline xmlns:a="http://schemas.openxmlformats.org/drawingml/2006/main" xmlns:pic="http://schemas.openxmlformats.org/drawingml/2006/picture">
                  <wp:extent cx="1655946" cy="2943904"/>
                  <wp:docPr id="32" name="Picture 9"/>
                  <wp:cNvGraphicFramePr>
                    <a:graphicFrameLocks noChangeAspect="1"/>
                  </wp:cNvGraphicFramePr>
                  <a:graphic>
                    <a:graphicData uri="http://schemas.openxmlformats.org/drawingml/2006/picture">
                      <pic:pic>
                        <pic:nvPicPr>
                          <pic:cNvPr id="32" name="causas-3-salida.png"/>
                          <pic:cNvPicPr/>
                        </pic:nvPicPr>
                        <pic:blipFill>
                          <a:blip r:embed="rId58"/>
                          <a:stretch>
                            <a:fillRect/>
                          </a:stretch>
                        </pic:blipFill>
                        <pic:spPr>
                          <a:xfrm>
                            <a:off x="0" y="0"/>
                            <a:ext cx="1655946" cy="2943904"/>
                          </a:xfrm>
                          <a:prstGeom prst="rect"/>
                        </pic:spPr>
                      </pic:pic>
                    </a:graphicData>
                  </a:graphic>
                </wp:inline>
              </w:drawing>
            </w:r>
          </w:p>
          <w:p>
            <w:pPr>
              <w:jc w:val="center"/>
            </w:pPr>
            <w:r>
              <w:rPr>
                <w:b/>
                <w:color w:val="57534E"/>
                <w:sz w:val="16"/>
              </w:rPr>
              <w:t xml:space="preserve">Figura 9. </w:t>
            </w:r>
            <w:r>
              <w:rPr>
                <w:color w:val="57534E"/>
                <w:sz w:val="16"/>
              </w:rPr>
              <w:t>Aviso antes de salir al sitio oficial de la entidad.</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3" name="Picture 10"/>
                  <wp:cNvGraphicFramePr>
                    <a:graphicFrameLocks noChangeAspect="1"/>
                  </wp:cNvGraphicFramePr>
                  <a:graphic>
                    <a:graphicData uri="http://schemas.openxmlformats.org/drawingml/2006/picture">
                      <pic:pic>
                        <pic:nvPicPr>
                          <pic:cNvPr id="33" name="causas-4-verificar.png"/>
                          <pic:cNvPicPr/>
                        </pic:nvPicPr>
                        <pic:blipFill>
                          <a:blip r:embed="rId59"/>
                          <a:stretch>
                            <a:fillRect/>
                          </a:stretch>
                        </pic:blipFill>
                        <pic:spPr>
                          <a:xfrm>
                            <a:off x="0" y="0"/>
                            <a:ext cx="1655946" cy="2943904"/>
                          </a:xfrm>
                          <a:prstGeom prst="rect"/>
                        </pic:spPr>
                      </pic:pic>
                    </a:graphicData>
                  </a:graphic>
                </wp:inline>
              </w:drawing>
            </w:r>
          </w:p>
          <w:p>
            <w:pPr>
              <w:jc w:val="center"/>
            </w:pPr>
            <w:r>
              <w:rPr>
                <w:b/>
                <w:color w:val="57534E"/>
                <w:sz w:val="16"/>
              </w:rPr>
              <w:t xml:space="preserve">Figura 10. </w:t>
            </w:r>
            <w:r>
              <w:rPr>
                <w:color w:val="57534E"/>
                <w:sz w:val="16"/>
              </w:rPr>
              <w:t>Verificar una entidad (C15): el botón se activa al marcar la casilla del aviso.</w:t>
            </w:r>
          </w:p>
        </w:tc>
        <w:tc>
          <w:tcPr>
            <w:tcW w:type="dxa" w:w="3061"/>
          </w:tcPr>
          <w:p>
            <w:pPr>
              <w:jc w:val="center"/>
            </w:pPr>
            <w:r>
              <w:drawing>
                <wp:inline xmlns:a="http://schemas.openxmlformats.org/drawingml/2006/main" xmlns:pic="http://schemas.openxmlformats.org/drawingml/2006/picture">
                  <wp:extent cx="1655946" cy="2943904"/>
                  <wp:docPr id="34" name="Picture 11"/>
                  <wp:cNvGraphicFramePr>
                    <a:graphicFrameLocks noChangeAspect="1"/>
                  </wp:cNvGraphicFramePr>
                  <a:graphic>
                    <a:graphicData uri="http://schemas.openxmlformats.org/drawingml/2006/picture">
                      <pic:pic>
                        <pic:nvPicPr>
                          <pic:cNvPr id="34" name="causas-5-publicar.png"/>
                          <pic:cNvPicPr/>
                        </pic:nvPicPr>
                        <pic:blipFill>
                          <a:blip r:embed="rId60"/>
                          <a:stretch>
                            <a:fillRect/>
                          </a:stretch>
                        </pic:blipFill>
                        <pic:spPr>
                          <a:xfrm>
                            <a:off x="0" y="0"/>
                            <a:ext cx="1655946" cy="2943904"/>
                          </a:xfrm>
                          <a:prstGeom prst="rect"/>
                        </pic:spPr>
                      </pic:pic>
                    </a:graphicData>
                  </a:graphic>
                </wp:inline>
              </w:drawing>
            </w:r>
          </w:p>
          <w:p>
            <w:pPr>
              <w:jc w:val="center"/>
            </w:pPr>
            <w:r>
              <w:rPr>
                <w:b/>
                <w:color w:val="57534E"/>
                <w:sz w:val="16"/>
              </w:rPr>
              <w:t xml:space="preserve">Figura 11. </w:t>
            </w:r>
            <w:r>
              <w:rPr>
                <w:color w:val="57534E"/>
                <w:sz w:val="16"/>
              </w:rPr>
              <w:t>Publicar una causa (C22): paso a paso, enlace oficial y fecha de cierre.</w:t>
            </w:r>
          </w:p>
        </w:tc>
        <w:tc>
          <w:tcPr>
            <w:tcW w:type="dxa" w:w="3061"/>
          </w:tcPr>
          <w:p>
            <w:pPr>
              <w:jc w:val="center"/>
            </w:pPr>
            <w:r>
              <w:drawing>
                <wp:inline xmlns:a="http://schemas.openxmlformats.org/drawingml/2006/main" xmlns:pic="http://schemas.openxmlformats.org/drawingml/2006/picture">
                  <wp:extent cx="1655946" cy="2943904"/>
                  <wp:docPr id="35" name="Picture 12"/>
                  <wp:cNvGraphicFramePr>
                    <a:graphicFrameLocks noChangeAspect="1"/>
                  </wp:cNvGraphicFramePr>
                  <a:graphic>
                    <a:graphicData uri="http://schemas.openxmlformats.org/drawingml/2006/picture">
                      <pic:pic>
                        <pic:nvPicPr>
                          <pic:cNvPr id="35" name="causas-6-sin-verificar.png"/>
                          <pic:cNvPicPr/>
                        </pic:nvPicPr>
                        <pic:blipFill>
                          <a:blip r:embed="rId61"/>
                          <a:stretch>
                            <a:fillRect/>
                          </a:stretch>
                        </pic:blipFill>
                        <pic:spPr>
                          <a:xfrm>
                            <a:off x="0" y="0"/>
                            <a:ext cx="1655946" cy="2943904"/>
                          </a:xfrm>
                          <a:prstGeom prst="rect"/>
                        </pic:spPr>
                      </pic:pic>
                    </a:graphicData>
                  </a:graphic>
                </wp:inline>
              </w:drawing>
            </w:r>
          </w:p>
          <w:p>
            <w:pPr>
              <w:jc w:val="center"/>
            </w:pPr>
            <w:r>
              <w:rPr>
                <w:b/>
                <w:color w:val="57534E"/>
                <w:sz w:val="16"/>
              </w:rPr>
              <w:t xml:space="preserve">Figura 12. </w:t>
            </w:r>
            <w:r>
              <w:rPr>
                <w:color w:val="57534E"/>
                <w:sz w:val="16"/>
              </w:rPr>
              <w:t>Ficha de una causa cuya entidad perdió la verificación: sin sello ni enlace.</w:t>
            </w:r>
          </w:p>
        </w:tc>
      </w:tr>
    </w:tbl>
    <w:p>
      <w:pPr>
        <w:spacing w:after="80"/>
      </w:pPr>
    </w:p>
    <w:p>
      <w:pPr>
        <w:pStyle w:val="Ttulo2"/>
      </w:pPr>
      <w:r>
        <w:t>1c. Otras pantallas del incremento</w:t>
      </w:r>
    </w:p>
    <w:p>
      <w:pPr>
        <w:keepNext/>
      </w:pPr>
      <w:r>
        <w:t>El incremento tiene más pantallas que las de los dos flujos. Estas también leen la base de la demo; la portada ya muestra el balance de recepción con datos de inventario.</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36" name="Picture 13"/>
                  <wp:cNvGraphicFramePr>
                    <a:graphicFrameLocks noChangeAspect="1"/>
                  </wp:cNvGraphicFramePr>
                  <a:graphic>
                    <a:graphicData uri="http://schemas.openxmlformats.org/drawingml/2006/picture">
                      <pic:pic>
                        <pic:nvPicPr>
                          <pic:cNvPr id="36" name="portada-balance.png"/>
                          <pic:cNvPicPr/>
                        </pic:nvPicPr>
                        <pic:blipFill>
                          <a:blip r:embed="rId62"/>
                          <a:stretch>
                            <a:fillRect/>
                          </a:stretch>
                        </pic:blipFill>
                        <pic:spPr>
                          <a:xfrm>
                            <a:off x="0" y="0"/>
                            <a:ext cx="1655946" cy="3583637"/>
                          </a:xfrm>
                          <a:prstGeom prst="rect"/>
                        </pic:spPr>
                      </pic:pic>
                    </a:graphicData>
                  </a:graphic>
                </wp:inline>
              </w:drawing>
            </w:r>
          </w:p>
          <w:p>
            <w:pPr>
              <w:jc w:val="center"/>
            </w:pPr>
            <w:r>
              <w:rPr>
                <w:b/>
                <w:color w:val="57534E"/>
                <w:sz w:val="16"/>
              </w:rPr>
              <w:t xml:space="preserve">Figura 13. </w:t>
            </w:r>
            <w:r>
              <w:rPr>
                <w:color w:val="57534E"/>
                <w:sz w:val="16"/>
              </w:rPr>
              <w:t>Portada (P1): el balance dice qué hace falta y qué no traer.</w:t>
            </w:r>
          </w:p>
        </w:tc>
        <w:tc>
          <w:tcPr>
            <w:tcW w:type="dxa" w:w="3061"/>
          </w:tcPr>
          <w:p>
            <w:pPr>
              <w:jc w:val="center"/>
            </w:pPr>
            <w:r>
              <w:drawing>
                <wp:inline xmlns:a="http://schemas.openxmlformats.org/drawingml/2006/main" xmlns:pic="http://schemas.openxmlformats.org/drawingml/2006/picture">
                  <wp:extent cx="1655946" cy="2943904"/>
                  <wp:docPr id="37" name="Picture 14"/>
                  <wp:cNvGraphicFramePr>
                    <a:graphicFrameLocks noChangeAspect="1"/>
                  </wp:cNvGraphicFramePr>
                  <a:graphic>
                    <a:graphicData uri="http://schemas.openxmlformats.org/drawingml/2006/picture">
                      <pic:pic>
                        <pic:nvPicPr>
                          <pic:cNvPr id="37" name="otras-mapa-zona.png"/>
                          <pic:cNvPicPr/>
                        </pic:nvPicPr>
                        <pic:blipFill>
                          <a:blip r:embed="rId63"/>
                          <a:stretch>
                            <a:fillRect/>
                          </a:stretch>
                        </pic:blipFill>
                        <pic:spPr>
                          <a:xfrm>
                            <a:off x="0" y="0"/>
                            <a:ext cx="1655946" cy="2943904"/>
                          </a:xfrm>
                          <a:prstGeom prst="rect"/>
                        </pic:spPr>
                      </pic:pic>
                    </a:graphicData>
                  </a:graphic>
                </wp:inline>
              </w:drawing>
            </w:r>
          </w:p>
          <w:p>
            <w:pPr>
              <w:jc w:val="center"/>
            </w:pPr>
            <w:r>
              <w:rPr>
                <w:b/>
                <w:color w:val="57534E"/>
                <w:sz w:val="16"/>
              </w:rPr>
              <w:t xml:space="preserve">Figura 14. </w:t>
            </w:r>
            <w:r>
              <w:rPr>
                <w:color w:val="57534E"/>
                <w:sz w:val="16"/>
              </w:rPr>
              <w:t>Mapa (P5): una zona con necesidad y lo que reportó.</w:t>
            </w:r>
          </w:p>
        </w:tc>
        <w:tc>
          <w:tcPr>
            <w:tcW w:type="dxa" w:w="3061"/>
          </w:tcPr>
          <w:p>
            <w:pPr>
              <w:jc w:val="center"/>
            </w:pPr>
            <w:r>
              <w:drawing>
                <wp:inline xmlns:a="http://schemas.openxmlformats.org/drawingml/2006/main" xmlns:pic="http://schemas.openxmlformats.org/drawingml/2006/picture">
                  <wp:extent cx="1655946" cy="2943904"/>
                  <wp:docPr id="38" name="Picture 15"/>
                  <wp:cNvGraphicFramePr>
                    <a:graphicFrameLocks noChangeAspect="1"/>
                  </wp:cNvGraphicFramePr>
                  <a:graphic>
                    <a:graphicData uri="http://schemas.openxmlformats.org/drawingml/2006/picture">
                      <pic:pic>
                        <pic:nvPicPr>
                          <pic:cNvPr id="38" name="otras-mi-zona.png"/>
                          <pic:cNvPicPr/>
                        </pic:nvPicPr>
                        <pic:blipFill>
                          <a:blip r:embed="rId64"/>
                          <a:stretch>
                            <a:fillRect/>
                          </a:stretch>
                        </pic:blipFill>
                        <pic:spPr>
                          <a:xfrm>
                            <a:off x="0" y="0"/>
                            <a:ext cx="1655946" cy="2943904"/>
                          </a:xfrm>
                          <a:prstGeom prst="rect"/>
                        </pic:spPr>
                      </pic:pic>
                    </a:graphicData>
                  </a:graphic>
                </wp:inline>
              </w:drawing>
            </w:r>
          </w:p>
          <w:p>
            <w:pPr>
              <w:jc w:val="center"/>
            </w:pPr>
            <w:r>
              <w:rPr>
                <w:b/>
                <w:color w:val="57534E"/>
                <w:sz w:val="16"/>
              </w:rPr>
              <w:t xml:space="preserve">Figura 15. </w:t>
            </w:r>
            <w:r>
              <w:rPr>
                <w:color w:val="57534E"/>
                <w:sz w:val="16"/>
              </w:rPr>
              <w:t>«Mi zona» del Receptor: lo que está por recibir.</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9" name="Picture 16"/>
                  <wp:cNvGraphicFramePr>
                    <a:graphicFrameLocks noChangeAspect="1"/>
                  </wp:cNvGraphicFramePr>
                  <a:graphic>
                    <a:graphicData uri="http://schemas.openxmlformats.org/drawingml/2006/picture">
                      <pic:pic>
                        <pic:nvPicPr>
                          <pic:cNvPr id="39" name="otras-voluntariado.png"/>
                          <pic:cNvPicPr/>
                        </pic:nvPicPr>
                        <pic:blipFill>
                          <a:blip r:embed="rId65"/>
                          <a:stretch>
                            <a:fillRect/>
                          </a:stretch>
                        </pic:blipFill>
                        <pic:spPr>
                          <a:xfrm>
                            <a:off x="0" y="0"/>
                            <a:ext cx="1655946" cy="2943904"/>
                          </a:xfrm>
                          <a:prstGeom prst="rect"/>
                        </pic:spPr>
                      </pic:pic>
                    </a:graphicData>
                  </a:graphic>
                </wp:inline>
              </w:drawing>
            </w:r>
          </w:p>
          <w:p>
            <w:pPr>
              <w:jc w:val="center"/>
            </w:pPr>
            <w:r>
              <w:rPr>
                <w:b/>
                <w:color w:val="57534E"/>
                <w:sz w:val="16"/>
              </w:rPr>
              <w:t xml:space="preserve">Figura 16. </w:t>
            </w:r>
            <w:r>
              <w:rPr>
                <w:color w:val="57534E"/>
                <w:sz w:val="16"/>
              </w:rPr>
              <w:t>Voluntariado (P7): jornadas por día con sus cupos reservados.</w:t>
            </w:r>
          </w:p>
        </w:tc>
        <w:tc>
          <w:tcPr>
            <w:tcW w:type="dxa" w:w="3061"/>
          </w:tcPr>
          <w:p>
            <w:pPr>
              <w:jc w:val="center"/>
            </w:pPr>
            <w:r>
              <w:drawing>
                <wp:inline xmlns:a="http://schemas.openxmlformats.org/drawingml/2006/main" xmlns:pic="http://schemas.openxmlformats.org/drawingml/2006/picture">
                  <wp:extent cx="1655946" cy="2943904"/>
                  <wp:docPr id="40" name="Picture 17"/>
                  <wp:cNvGraphicFramePr>
                    <a:graphicFrameLocks noChangeAspect="1"/>
                  </wp:cNvGraphicFramePr>
                  <a:graphic>
                    <a:graphicData uri="http://schemas.openxmlformats.org/drawingml/2006/picture">
                      <pic:pic>
                        <pic:nvPicPr>
                          <pic:cNvPr id="40" name="otras-reservar.png"/>
                          <pic:cNvPicPr/>
                        </pic:nvPicPr>
                        <pic:blipFill>
                          <a:blip r:embed="rId66"/>
                          <a:stretch>
                            <a:fillRect/>
                          </a:stretch>
                        </pic:blipFill>
                        <pic:spPr>
                          <a:xfrm>
                            <a:off x="0" y="0"/>
                            <a:ext cx="1655946" cy="2943904"/>
                          </a:xfrm>
                          <a:prstGeom prst="rect"/>
                        </pic:spPr>
                      </pic:pic>
                    </a:graphicData>
                  </a:graphic>
                </wp:inline>
              </w:drawing>
            </w:r>
          </w:p>
          <w:p>
            <w:pPr>
              <w:jc w:val="center"/>
            </w:pPr>
            <w:r>
              <w:rPr>
                <w:b/>
                <w:color w:val="57534E"/>
                <w:sz w:val="16"/>
              </w:rPr>
              <w:t xml:space="preserve">Figura 17. </w:t>
            </w:r>
            <w:r>
              <w:rPr>
                <w:color w:val="57534E"/>
                <w:sz w:val="16"/>
              </w:rPr>
              <w:t>Reservar un cupo, con el consentimiento de los datos.</w:t>
            </w:r>
          </w:p>
        </w:tc>
        <w:tc>
          <w:tcPr>
            <w:tcW w:type="dxa" w:w="3061"/>
          </w:tcPr>
          <w:p>
            <w:pPr>
              <w:jc w:val="center"/>
            </w:pPr>
            <w:r>
              <w:drawing>
                <wp:inline xmlns:a="http://schemas.openxmlformats.org/drawingml/2006/main" xmlns:pic="http://schemas.openxmlformats.org/drawingml/2006/picture">
                  <wp:extent cx="1655946" cy="2943904"/>
                  <wp:docPr id="41" name="Picture 18"/>
                  <wp:cNvGraphicFramePr>
                    <a:graphicFrameLocks noChangeAspect="1"/>
                  </wp:cNvGraphicFramePr>
                  <a:graphic>
                    <a:graphicData uri="http://schemas.openxmlformats.org/drawingml/2006/picture">
                      <pic:pic>
                        <pic:nvPicPr>
                          <pic:cNvPr id="41" name="otras-mi-reserva.png"/>
                          <pic:cNvPicPr/>
                        </pic:nvPicPr>
                        <pic:blipFill>
                          <a:blip r:embed="rId67"/>
                          <a:stretch>
                            <a:fillRect/>
                          </a:stretch>
                        </pic:blipFill>
                        <pic:spPr>
                          <a:xfrm>
                            <a:off x="0" y="0"/>
                            <a:ext cx="1655946" cy="2943904"/>
                          </a:xfrm>
                          <a:prstGeom prst="rect"/>
                        </pic:spPr>
                      </pic:pic>
                    </a:graphicData>
                  </a:graphic>
                </wp:inline>
              </w:drawing>
            </w:r>
          </w:p>
          <w:p>
            <w:pPr>
              <w:jc w:val="center"/>
            </w:pPr>
            <w:r>
              <w:rPr>
                <w:b/>
                <w:color w:val="57534E"/>
                <w:sz w:val="16"/>
              </w:rPr>
              <w:t xml:space="preserve">Figura 18. </w:t>
            </w:r>
            <w:r>
              <w:rPr>
                <w:color w:val="57534E"/>
                <w:sz w:val="16"/>
              </w:rPr>
              <w:t>La reserva (P8): código, jornada y cómo llegar.</w:t>
            </w:r>
          </w:p>
        </w:tc>
      </w:tr>
    </w:tbl>
    <w:p>
      <w:pPr>
        <w:spacing w:after="80"/>
      </w:pPr>
    </w:p>
    <w:p>
      <w:pPr>
        <w:sectPr>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18 de octubre. El de paquetes es el que pide la sustentación; se dibuja a mano en </w:t>
      </w:r>
      <w:r>
        <w:rPr>
          <w:rFonts w:ascii="Consolas" w:hAnsi="Consolas"/>
          <w:sz w:val="19"/>
        </w:rPr>
        <w:t>docs/02-arquitectura/diagramas/paquetes.html</w:t>
      </w:r>
      <w:r>
        <w:t xml:space="preserve"> y sus dependencias salen de dependency-cruiser. Los modelos de datos de la red y de turnos se generan con Mermaid desde la misma carpeta; el resto de los diagramas está en la bóveda, en </w:t>
      </w:r>
      <w:r>
        <w:rPr>
          <w:rFonts w:ascii="Consolas" w:hAnsi="Consolas"/>
          <w:sz w:val="19"/>
        </w:rPr>
        <w:t>docs/02-arquitectura/</w:t>
      </w:r>
      <w:r>
        <w:t>.</w:t>
      </w:r>
    </w:p>
    <w:p>
      <w:pPr>
        <w:keepNext/>
        <w:spacing w:after="40"/>
        <w:jc w:val="center"/>
      </w:pPr>
      <w:r>
        <w:drawing>
          <wp:inline xmlns:a="http://schemas.openxmlformats.org/drawingml/2006/main" xmlns:pic="http://schemas.openxmlformats.org/drawingml/2006/picture">
            <wp:extent cx="8963660" cy="4132596"/>
            <wp:docPr id="42" name="Picture 19"/>
            <wp:cNvGraphicFramePr>
              <a:graphicFrameLocks noChangeAspect="1"/>
            </wp:cNvGraphicFramePr>
            <a:graphic>
              <a:graphicData uri="http://schemas.openxmlformats.org/drawingml/2006/picture">
                <pic:pic>
                  <pic:nvPicPr>
                    <pic:cNvPr id="42" name="arquitectura-03-paquetes-del-monorepo.png"/>
                    <pic:cNvPicPr/>
                  </pic:nvPicPr>
                  <pic:blipFill>
                    <a:blip r:embed="rId47"/>
                    <a:stretch>
                      <a:fillRect/>
                    </a:stretch>
                  </pic:blipFill>
                  <pic:spPr>
                    <a:xfrm>
                      <a:off x="0" y="0"/>
                      <a:ext cx="8963660" cy="4132596"/>
                    </a:xfrm>
                    <a:prstGeom prst="rect"/>
                  </pic:spPr>
                </pic:pic>
              </a:graphicData>
            </a:graphic>
          </wp:inline>
        </w:drawing>
      </w:r>
    </w:p>
    <w:p>
      <w:pPr>
        <w:jc w:val="center"/>
      </w:pPr>
      <w:r>
        <w:rPr>
          <w:b/>
          <w:color w:val="57534E"/>
          <w:sz w:val="18"/>
        </w:rPr>
        <w:t xml:space="preserve">Figura 19.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6521442" cy="4896375"/>
            <wp:docPr id="43" name="Picture 20"/>
            <wp:cNvGraphicFramePr>
              <a:graphicFrameLocks noChangeAspect="1"/>
            </wp:cNvGraphicFramePr>
            <a:graphic>
              <a:graphicData uri="http://schemas.openxmlformats.org/drawingml/2006/picture">
                <pic:pic>
                  <pic:nvPicPr>
                    <pic:cNvPr id="43" name="arquitectura-04-paquetes-de-la-api.png"/>
                    <pic:cNvPicPr/>
                  </pic:nvPicPr>
                  <pic:blipFill>
                    <a:blip r:embed="rId68"/>
                    <a:stretch>
                      <a:fillRect/>
                    </a:stretch>
                  </pic:blipFill>
                  <pic:spPr>
                    <a:xfrm>
                      <a:off x="0" y="0"/>
                      <a:ext cx="6521442" cy="4896375"/>
                    </a:xfrm>
                    <a:prstGeom prst="rect"/>
                  </pic:spPr>
                </pic:pic>
              </a:graphicData>
            </a:graphic>
          </wp:inline>
        </w:drawing>
      </w:r>
    </w:p>
    <w:p>
      <w:pPr>
        <w:jc w:val="center"/>
      </w:pPr>
      <w:r>
        <w:rPr>
          <w:b/>
          <w:color w:val="57534E"/>
          <w:sz w:val="18"/>
        </w:rPr>
        <w:t xml:space="preserve">Figura 20. </w:t>
      </w:r>
      <w:r>
        <w:rPr>
          <w:color w:val="57534E"/>
          <w:sz w:val="18"/>
        </w:rPr>
        <w:t>Paquetes de la API: los módulos de dominio arriba, los transversales abajo. Incluye turnos.</w:t>
      </w:r>
    </w:p>
    <w:p>
      <w:pPr>
        <w:keepNext/>
        <w:spacing w:after="40"/>
        <w:jc w:val="center"/>
      </w:pPr>
      <w:r>
        <w:drawing>
          <wp:inline xmlns:a="http://schemas.openxmlformats.org/drawingml/2006/main" xmlns:pic="http://schemas.openxmlformats.org/drawingml/2006/picture">
            <wp:extent cx="8963660" cy="4410971"/>
            <wp:docPr id="44" name="Picture 21"/>
            <wp:cNvGraphicFramePr>
              <a:graphicFrameLocks noChangeAspect="1"/>
            </wp:cNvGraphicFramePr>
            <a:graphic>
              <a:graphicData uri="http://schemas.openxmlformats.org/drawingml/2006/picture">
                <pic:pic>
                  <pic:nvPicPr>
                    <pic:cNvPr id="44" name="er-02-red.png"/>
                    <pic:cNvPicPr/>
                  </pic:nvPicPr>
                  <pic:blipFill>
                    <a:blip r:embed="rId69"/>
                    <a:stretch>
                      <a:fillRect/>
                    </a:stretch>
                  </pic:blipFill>
                  <pic:spPr>
                    <a:xfrm>
                      <a:off x="0" y="0"/>
                      <a:ext cx="8963660" cy="4410971"/>
                    </a:xfrm>
                    <a:prstGeom prst="rect"/>
                  </pic:spPr>
                </pic:pic>
              </a:graphicData>
            </a:graphic>
          </wp:inline>
        </w:drawing>
      </w:r>
    </w:p>
    <w:p>
      <w:pPr>
        <w:jc w:val="center"/>
      </w:pPr>
      <w:r>
        <w:rPr>
          <w:b/>
          <w:color w:val="57534E"/>
          <w:sz w:val="18"/>
        </w:rPr>
        <w:t xml:space="preserve">Figura 21.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45" name="Picture 22"/>
            <wp:cNvGraphicFramePr>
              <a:graphicFrameLocks noChangeAspect="1"/>
            </wp:cNvGraphicFramePr>
            <a:graphic>
              <a:graphicData uri="http://schemas.openxmlformats.org/drawingml/2006/picture">
                <pic:pic>
                  <pic:nvPicPr>
                    <pic:cNvPr id="45" name="er-06-turnos.png"/>
                    <pic:cNvPicPr/>
                  </pic:nvPicPr>
                  <pic:blipFill>
                    <a:blip r:embed="rId70"/>
                    <a:stretch>
                      <a:fillRect/>
                    </a:stretch>
                  </pic:blipFill>
                  <pic:spPr>
                    <a:xfrm>
                      <a:off x="0" y="0"/>
                      <a:ext cx="3664383" cy="4896374"/>
                    </a:xfrm>
                    <a:prstGeom prst="rect"/>
                  </pic:spPr>
                </pic:pic>
              </a:graphicData>
            </a:graphic>
          </wp:inline>
        </w:drawing>
      </w:r>
    </w:p>
    <w:p>
      <w:pPr>
        <w:jc w:val="center"/>
      </w:pPr>
      <w:r>
        <w:rPr>
          <w:b/>
          <w:color w:val="57534E"/>
          <w:sz w:val="18"/>
        </w:rPr>
        <w:t xml:space="preserve">Figura 22.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2 (evidencia/avance-05/tablero.png).</w:t>
            </w:r>
          </w:p>
        </w:tc>
      </w:tr>
    </w:tbl>
    <w:p>
      <w:pPr>
        <w:spacing w:after="40"/>
      </w:pP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seguimiento (evidencia/avance-05/seguimiento.png).</w:t>
            </w:r>
          </w:p>
        </w:tc>
      </w:tr>
    </w:tbl>
    <w:p>
      <w:pPr>
        <w:spacing w:after="40"/>
      </w:pP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p>
      <w:r>
        <w:t>El trabajo con Stitch. Con las maquetas aprobadas se construyen interfaces funcionales, y el flujo que se está usando (maqueta, especificación, plan, pull request y recorrido) es bastante bueno para avanzar y para analizar requerimientos nuevos y extras al aplicativo.</w:t>
      </w:r>
    </w:p>
    <w:p>
      <w:r>
        <w:rPr>
          <w:b/>
        </w:rPr>
        <w:t>¿Qué no funcionó o dificultó el trabajo?</w:t>
      </w:r>
    </w:p>
    <w:p>
      <w:r>
        <w:t>Con el tiempo se dificultó crear la lógica del envío de correos sin poder probarla, porque el SMTP todavía no se ha configurado. Pasa lo mismo con otros apartados que no han tenido pruebas reales durante el desarrollo.</w:t>
      </w:r>
    </w:p>
    <w:p>
      <w:r>
        <w:rPr>
          <w:b/>
        </w:rPr>
        <w:t>¿Qué aprendimos?</w:t>
      </w:r>
    </w:p>
    <w:p>
      <w:r>
        <w:t>Aprendimos a usar un gestor de contenido S3 (Garage), que puede albergar bastante información. Sin él, almacenar ese contenido habría sido pesado para el servidor.</w:t>
      </w:r>
    </w:p>
    <w:p>
      <w:r>
        <w:rPr>
          <w:b/>
        </w:rPr>
        <w:t>¿Qué acción concreta aplicaremos en el siguiente corte?</w:t>
      </w:r>
    </w:p>
    <w:p>
      <w:r>
        <w:t>Continuar con el mínimo viable y cargar la información del aplicativo original de Acopio Bogotá (RedAcopio), obtenida por scraping, por tandas y sin sobrecargar el servidor de terceros. Se verifica cuando el importador de la pieza E (</w:t>
      </w:r>
      <w:r>
        <w:t>#49</w:t>
      </w:r>
      <w:r>
        <w:t>) haya cargado esos acopios en el servidor de pruebas, antes del 15 de noviembre.</w:t>
      </w: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