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son de la demo del servidor de pruebas, con datos de la base, a 390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keepNext/>
        <w:spacing w:after="40"/>
        <w:jc w:val="center"/>
      </w:pPr>
      <w:r>
        <w:drawing>
          <wp:inline xmlns:a="http://schemas.openxmlformats.org/drawingml/2006/main" xmlns:pic="http://schemas.openxmlformats.org/drawingml/2006/picture">
            <wp:extent cx="1996208" cy="4319999"/>
            <wp:docPr id="1" name="Picture 1"/>
            <wp:cNvGraphicFramePr>
              <a:graphicFrameLocks noChangeAspect="1"/>
            </wp:cNvGraphicFramePr>
            <a:graphic>
              <a:graphicData uri="http://schemas.openxmlformats.org/drawingml/2006/picture">
                <pic:pic>
                  <pic:nvPicPr>
                    <pic:cNvPr id="0" name="c11-motor.png"/>
                    <pic:cNvPicPr/>
                  </pic:nvPicPr>
                  <pic:blipFill>
                    <a:blip r:embed="rId27"/>
                    <a:stretch>
                      <a:fillRect/>
                    </a:stretch>
                  </pic:blipFill>
                  <pic:spPr>
                    <a:xfrm>
                      <a:off x="0" y="0"/>
                      <a:ext cx="1996208" cy="4319999"/>
                    </a:xfrm>
                    <a:prstGeom prst="rect"/>
                  </pic:spPr>
                </pic:pic>
              </a:graphicData>
            </a:graphic>
          </wp:inline>
        </w:drawing>
      </w:r>
    </w:p>
    <w:p>
      <w:pPr>
        <w:jc w:val="center"/>
      </w:pPr>
      <w:r>
        <w:rPr>
          <w:b/>
          <w:color w:val="57534E"/>
          <w:sz w:val="18"/>
        </w:rPr>
        <w:t xml:space="preserve">Figura 1. </w:t>
      </w:r>
      <w:r>
        <w:rPr>
          <w:color w:val="57534E"/>
          <w:sz w:val="18"/>
        </w:rPr>
        <w:t>Motor de sugerencias (C11): traslados sugeridos con su puntaje.</w:t>
      </w:r>
    </w:p>
    <w:p>
      <w:pPr>
        <w:pStyle w:val="Vineta"/>
      </w:pPr>
      <w:r>
        <w:t xml:space="preserve">1. </w:t>
      </w:r>
      <w:r>
        <w:t xml:space="preserve">Un traslado aprobado se vuelve una </w:t>
      </w:r>
      <w:r>
        <w:rPr>
          <w:b/>
        </w:rPr>
        <w:t>remisión</w:t>
      </w:r>
      <w:r>
        <w:t xml:space="preserve"> en borrador (C12). El Administrador la revisa y la despacha; entonces pasa a «En tránsito».</w:t>
      </w:r>
    </w:p>
    <w:p>
      <w:pPr>
        <w:keepNext/>
        <w:spacing w:after="40"/>
        <w:jc w:val="center"/>
      </w:pPr>
      <w:r>
        <w:drawing>
          <wp:inline xmlns:a="http://schemas.openxmlformats.org/drawingml/2006/main" xmlns:pic="http://schemas.openxmlformats.org/drawingml/2006/picture">
            <wp:extent cx="1996208" cy="4319999"/>
            <wp:docPr id="2" name="Picture 2"/>
            <wp:cNvGraphicFramePr>
              <a:graphicFrameLocks noChangeAspect="1"/>
            </wp:cNvGraphicFramePr>
            <a:graphic>
              <a:graphicData uri="http://schemas.openxmlformats.org/drawingml/2006/picture">
                <pic:pic>
                  <pic:nvPicPr>
                    <pic:cNvPr id="0" name="c12-remisiones.png"/>
                    <pic:cNvPicPr/>
                  </pic:nvPicPr>
                  <pic:blipFill>
                    <a:blip r:embed="rId28"/>
                    <a:stretch>
                      <a:fillRect/>
                    </a:stretch>
                  </pic:blipFill>
                  <pic:spPr>
                    <a:xfrm>
                      <a:off x="0" y="0"/>
                      <a:ext cx="1996208" cy="4319999"/>
                    </a:xfrm>
                    <a:prstGeom prst="rect"/>
                  </pic:spPr>
                </pic:pic>
              </a:graphicData>
            </a:graphic>
          </wp:inline>
        </w:drawing>
      </w:r>
    </w:p>
    <w:p>
      <w:pPr>
        <w:jc w:val="center"/>
      </w:pPr>
      <w:r>
        <w:rPr>
          <w:b/>
          <w:color w:val="57534E"/>
          <w:sz w:val="18"/>
        </w:rPr>
        <w:t xml:space="preserve">Figura 2. </w:t>
      </w:r>
      <w:r>
        <w:rPr>
          <w:color w:val="57534E"/>
          <w:sz w:val="18"/>
        </w:rPr>
        <w:t>Remisiones (C12): la remisión en borrador, lista para despachar.</w:t>
      </w:r>
    </w:p>
    <w:p>
      <w:pPr>
        <w:pStyle w:val="Vineta"/>
      </w:pPr>
      <w:r>
        <w:t xml:space="preserve">1. </w:t>
      </w:r>
      <w:r>
        <w:t xml:space="preserve">La remisión despachada tiene su </w:t>
      </w:r>
      <w:r>
        <w:rPr>
          <w:b/>
        </w:rPr>
        <w:t>documento</w:t>
      </w:r>
      <w:r>
        <w:t xml:space="preserve"> para imprimir, con el código, el QR, las cantidades y los espacios para las firmas de quien entrega y quien recibe.</w:t>
      </w:r>
    </w:p>
    <w:p>
      <w:pPr>
        <w:keepNext/>
        <w:spacing w:after="40"/>
        <w:jc w:val="center"/>
      </w:pPr>
      <w:r>
        <w:drawing>
          <wp:inline xmlns:a="http://schemas.openxmlformats.org/drawingml/2006/main" xmlns:pic="http://schemas.openxmlformats.org/drawingml/2006/picture">
            <wp:extent cx="1304697" cy="4319997"/>
            <wp:docPr id="3" name="Picture 3"/>
            <wp:cNvGraphicFramePr>
              <a:graphicFrameLocks noChangeAspect="1"/>
            </wp:cNvGraphicFramePr>
            <a:graphic>
              <a:graphicData uri="http://schemas.openxmlformats.org/drawingml/2006/picture">
                <pic:pic>
                  <pic:nvPicPr>
                    <pic:cNvPr id="0" name="c12-documento.png"/>
                    <pic:cNvPicPr/>
                  </pic:nvPicPr>
                  <pic:blipFill>
                    <a:blip r:embed="rId29"/>
                    <a:stretch>
                      <a:fillRect/>
                    </a:stretch>
                  </pic:blipFill>
                  <pic:spPr>
                    <a:xfrm>
                      <a:off x="0" y="0"/>
                      <a:ext cx="1304697" cy="4319997"/>
                    </a:xfrm>
                    <a:prstGeom prst="rect"/>
                  </pic:spPr>
                </pic:pic>
              </a:graphicData>
            </a:graphic>
          </wp:inline>
        </w:drawing>
      </w:r>
    </w:p>
    <w:p>
      <w:pPr>
        <w:jc w:val="center"/>
      </w:pPr>
      <w:r>
        <w:rPr>
          <w:b/>
          <w:color w:val="57534E"/>
          <w:sz w:val="18"/>
        </w:rPr>
        <w:t xml:space="preserve">Figura 3. </w:t>
      </w:r>
      <w:r>
        <w:rPr>
          <w:color w:val="57534E"/>
          <w:sz w:val="18"/>
        </w:rPr>
        <w:t>Documento de una remisión despachada, con su QR.</w:t>
      </w:r>
    </w:p>
    <w:p>
      <w:pPr>
        <w:pStyle w:val="Vineta"/>
      </w:pPr>
      <w:r>
        <w:t xml:space="preserve">1.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spacing w:after="40"/>
        <w:jc w:val="center"/>
      </w:pPr>
      <w:r>
        <w:drawing>
          <wp:inline xmlns:a="http://schemas.openxmlformats.org/drawingml/2006/main" xmlns:pic="http://schemas.openxmlformats.org/drawingml/2006/picture">
            <wp:extent cx="2430000" cy="4320000"/>
            <wp:docPr id="4" name="Picture 4"/>
            <wp:cNvGraphicFramePr>
              <a:graphicFrameLocks noChangeAspect="1"/>
            </wp:cNvGraphicFramePr>
            <a:graphic>
              <a:graphicData uri="http://schemas.openxmlformats.org/drawingml/2006/picture">
                <pic:pic>
                  <pic:nvPicPr>
                    <pic:cNvPr id="0" name="c13-recibida.png"/>
                    <pic:cNvPicPr/>
                  </pic:nvPicPr>
                  <pic:blipFill>
                    <a:blip r:embed="rId30"/>
                    <a:stretch>
                      <a:fillRect/>
                    </a:stretch>
                  </pic:blipFill>
                  <pic:spPr>
                    <a:xfrm>
                      <a:off x="0" y="0"/>
                      <a:ext cx="2430000" cy="4320000"/>
                    </a:xfrm>
                    <a:prstGeom prst="rect"/>
                  </pic:spPr>
                </pic:pic>
              </a:graphicData>
            </a:graphic>
          </wp:inline>
        </w:drawing>
      </w:r>
    </w:p>
    <w:p>
      <w:pPr>
        <w:jc w:val="center"/>
      </w:pPr>
      <w:r>
        <w:rPr>
          <w:b/>
          <w:color w:val="57534E"/>
          <w:sz w:val="18"/>
        </w:rPr>
        <w:t xml:space="preserve">Figura 4. </w:t>
      </w:r>
      <w:r>
        <w:rPr>
          <w:color w:val="57534E"/>
          <w:sz w:val="18"/>
        </w:rPr>
        <w:t>Recepción en la zona (C13): confirmación de una remisión recibida.</w:t>
      </w:r>
    </w:p>
    <w:p>
      <w:r>
        <w:t>HU-13 Contar lo que la fórmula no ve se cubre desde «Mi zona»: el Receptor reporta una necesidad que el cálculo no conoce, y el motor la toma en cuenta al recalcular.</w:t>
      </w: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keepNext/>
        <w:spacing w:after="40"/>
        <w:jc w:val="center"/>
      </w:pPr>
      <w:r>
        <w:drawing>
          <wp:inline xmlns:a="http://schemas.openxmlformats.org/drawingml/2006/main" xmlns:pic="http://schemas.openxmlformats.org/drawingml/2006/picture">
            <wp:extent cx="1996208" cy="4319999"/>
            <wp:docPr id="5" name="Picture 5"/>
            <wp:cNvGraphicFramePr>
              <a:graphicFrameLocks noChangeAspect="1"/>
            </wp:cNvGraphicFramePr>
            <a:graphic>
              <a:graphicData uri="http://schemas.openxmlformats.org/drawingml/2006/picture">
                <pic:pic>
                  <pic:nvPicPr>
                    <pic:cNvPr id="0" name="p03-causas.png"/>
                    <pic:cNvPicPr/>
                  </pic:nvPicPr>
                  <pic:blipFill>
                    <a:blip r:embed="rId31"/>
                    <a:stretch>
                      <a:fillRect/>
                    </a:stretch>
                  </pic:blipFill>
                  <pic:spPr>
                    <a:xfrm>
                      <a:off x="0" y="0"/>
                      <a:ext cx="1996208" cy="4319999"/>
                    </a:xfrm>
                    <a:prstGeom prst="rect"/>
                  </pic:spPr>
                </pic:pic>
              </a:graphicData>
            </a:graphic>
          </wp:inline>
        </w:drawing>
      </w:r>
    </w:p>
    <w:p>
      <w:pPr>
        <w:jc w:val="center"/>
      </w:pPr>
      <w:r>
        <w:rPr>
          <w:b/>
          <w:color w:val="57534E"/>
          <w:sz w:val="18"/>
        </w:rPr>
        <w:t xml:space="preserve">Figura 5. </w:t>
      </w:r>
      <w:r>
        <w:rPr>
          <w:color w:val="57534E"/>
          <w:sz w:val="18"/>
        </w:rPr>
        <w:t>Directorio de causas (P3).</w:t>
      </w:r>
    </w:p>
    <w:p>
      <w:pPr>
        <w:pStyle w:val="Vineta"/>
      </w:pPr>
      <w:r>
        <w:t xml:space="preserve">1. </w:t>
      </w:r>
      <w:r>
        <w:t xml:space="preserve">La </w:t>
      </w:r>
      <w:r>
        <w:rPr>
          <w:b/>
        </w:rPr>
        <w:t>ficha de la causa</w:t>
      </w:r>
      <w:r>
        <w:t xml:space="preserve"> (P4) muestra la entidad, el paso a paso para donar y el enlace al sitio oficial.</w:t>
      </w:r>
    </w:p>
    <w:p>
      <w:pPr>
        <w:keepNext/>
        <w:spacing w:after="40"/>
        <w:jc w:val="center"/>
      </w:pPr>
      <w:r>
        <w:drawing>
          <wp:inline xmlns:a="http://schemas.openxmlformats.org/drawingml/2006/main" xmlns:pic="http://schemas.openxmlformats.org/drawingml/2006/picture">
            <wp:extent cx="1996208" cy="4319999"/>
            <wp:docPr id="6" name="Picture 6"/>
            <wp:cNvGraphicFramePr>
              <a:graphicFrameLocks noChangeAspect="1"/>
            </wp:cNvGraphicFramePr>
            <a:graphic>
              <a:graphicData uri="http://schemas.openxmlformats.org/drawingml/2006/picture">
                <pic:pic>
                  <pic:nvPicPr>
                    <pic:cNvPr id="0" name="p04-ficha-causa.png"/>
                    <pic:cNvPicPr/>
                  </pic:nvPicPr>
                  <pic:blipFill>
                    <a:blip r:embed="rId32"/>
                    <a:stretch>
                      <a:fillRect/>
                    </a:stretch>
                  </pic:blipFill>
                  <pic:spPr>
                    <a:xfrm>
                      <a:off x="0" y="0"/>
                      <a:ext cx="1996208" cy="4319999"/>
                    </a:xfrm>
                    <a:prstGeom prst="rect"/>
                  </pic:spPr>
                </pic:pic>
              </a:graphicData>
            </a:graphic>
          </wp:inline>
        </w:drawing>
      </w:r>
    </w:p>
    <w:p>
      <w:pPr>
        <w:jc w:val="center"/>
      </w:pPr>
      <w:r>
        <w:rPr>
          <w:b/>
          <w:color w:val="57534E"/>
          <w:sz w:val="18"/>
        </w:rPr>
        <w:t xml:space="preserve">Figura 6. </w:t>
      </w:r>
      <w:r>
        <w:rPr>
          <w:color w:val="57534E"/>
          <w:sz w:val="18"/>
        </w:rPr>
        <w:t>Ficha de una causa (P4).</w:t>
      </w:r>
    </w:p>
    <w:p>
      <w:pPr>
        <w:pStyle w:val="Vineta"/>
      </w:pPr>
      <w:r>
        <w:t xml:space="preserve">1. </w:t>
      </w:r>
      <w:r>
        <w:t>Al tocar «Ir al sitio oficial», una hoja avisa que la persona sale de Acopio y que Acopio no recibe dinero ni ve sus pagos. Solo después de confirmar se abre el sitio.</w:t>
      </w:r>
    </w:p>
    <w:p>
      <w:pPr>
        <w:keepNext/>
        <w:spacing w:after="40"/>
        <w:jc w:val="center"/>
      </w:pPr>
      <w:r>
        <w:drawing>
          <wp:inline xmlns:a="http://schemas.openxmlformats.org/drawingml/2006/main" xmlns:pic="http://schemas.openxmlformats.org/drawingml/2006/picture">
            <wp:extent cx="1996208" cy="4319999"/>
            <wp:docPr id="7" name="Picture 7"/>
            <wp:cNvGraphicFramePr>
              <a:graphicFrameLocks noChangeAspect="1"/>
            </wp:cNvGraphicFramePr>
            <a:graphic>
              <a:graphicData uri="http://schemas.openxmlformats.org/drawingml/2006/picture">
                <pic:pic>
                  <pic:nvPicPr>
                    <pic:cNvPr id="0" name="p04-salida.png"/>
                    <pic:cNvPicPr/>
                  </pic:nvPicPr>
                  <pic:blipFill>
                    <a:blip r:embed="rId33"/>
                    <a:stretch>
                      <a:fillRect/>
                    </a:stretch>
                  </pic:blipFill>
                  <pic:spPr>
                    <a:xfrm>
                      <a:off x="0" y="0"/>
                      <a:ext cx="1996208" cy="4319999"/>
                    </a:xfrm>
                    <a:prstGeom prst="rect"/>
                  </pic:spPr>
                </pic:pic>
              </a:graphicData>
            </a:graphic>
          </wp:inline>
        </w:drawing>
      </w:r>
    </w:p>
    <w:p>
      <w:pPr>
        <w:jc w:val="center"/>
      </w:pPr>
      <w:r>
        <w:rPr>
          <w:b/>
          <w:color w:val="57534E"/>
          <w:sz w:val="18"/>
        </w:rPr>
        <w:t xml:space="preserve">Figura 7. </w:t>
      </w:r>
      <w:r>
        <w:rPr>
          <w:color w:val="57534E"/>
          <w:sz w:val="18"/>
        </w:rPr>
        <w:t>Aviso antes de salir al sitio oficial de la entidad.</w:t>
      </w:r>
    </w:p>
    <w:p>
      <w:pPr>
        <w:pStyle w:val="Vineta"/>
      </w:pPr>
      <w:r>
        <w:t xml:space="preserve">1.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p>
      <w:pPr>
        <w:keepNext/>
        <w:spacing w:after="40"/>
        <w:jc w:val="center"/>
      </w:pPr>
      <w:r>
        <w:drawing>
          <wp:inline xmlns:a="http://schemas.openxmlformats.org/drawingml/2006/main" xmlns:pic="http://schemas.openxmlformats.org/drawingml/2006/picture">
            <wp:extent cx="1996208" cy="4319999"/>
            <wp:docPr id="8" name="Picture 8"/>
            <wp:cNvGraphicFramePr>
              <a:graphicFrameLocks noChangeAspect="1"/>
            </wp:cNvGraphicFramePr>
            <a:graphic>
              <a:graphicData uri="http://schemas.openxmlformats.org/drawingml/2006/picture">
                <pic:pic>
                  <pic:nvPicPr>
                    <pic:cNvPr id="0" name="c22-causas.png"/>
                    <pic:cNvPicPr/>
                  </pic:nvPicPr>
                  <pic:blipFill>
                    <a:blip r:embed="rId34"/>
                    <a:stretch>
                      <a:fillRect/>
                    </a:stretch>
                  </pic:blipFill>
                  <pic:spPr>
                    <a:xfrm>
                      <a:off x="0" y="0"/>
                      <a:ext cx="1996208" cy="4319999"/>
                    </a:xfrm>
                    <a:prstGeom prst="rect"/>
                  </pic:spPr>
                </pic:pic>
              </a:graphicData>
            </a:graphic>
          </wp:inline>
        </w:drawing>
      </w:r>
    </w:p>
    <w:p>
      <w:pPr>
        <w:jc w:val="center"/>
      </w:pPr>
      <w:r>
        <w:rPr>
          <w:b/>
          <w:color w:val="57534E"/>
          <w:sz w:val="18"/>
        </w:rPr>
        <w:t xml:space="preserve">Figura 8. </w:t>
      </w:r>
      <w:r>
        <w:rPr>
          <w:color w:val="57534E"/>
          <w:sz w:val="18"/>
        </w:rPr>
        <w:t>Causas en la consola (C22).</w:t>
      </w:r>
    </w:p>
    <w:p>
      <w:r>
        <w:br w:type="page"/>
      </w: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no funcionó o dificultó el trabajo?</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aprendimos?</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acción concreta aplicaremos en el siguiente corte?</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 Tiene que ser una acción verificable.</w:t>
            </w:r>
          </w:p>
        </w:tc>
      </w:tr>
    </w:tbl>
    <w:p>
      <w:pPr>
        <w:spacing w:after="40"/>
      </w:pP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footerReference w:type="default" r:id="rId8"/>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de proyecto #5 — Sprint 2</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