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F4F"/>
          <w:sz w:val="40"/>
        </w:rPr>
        <w:t>PLAN Y SISTEMA DE GESTIÓN DE CALIDAD DE SOFTWARE</w:t>
      </w:r>
    </w:p>
    <w:p>
      <w:pPr>
        <w:jc w:val="center"/>
      </w:pPr>
      <w:r>
        <w:rPr>
          <w:b/>
          <w:sz w:val="28"/>
        </w:rPr>
        <w:t>Sistema de Pedidos SISPE — Spring Boot + Thymeleaf</w:t>
      </w:r>
    </w:p>
    <w:p>
      <w:pPr>
        <w:jc w:val="center"/>
      </w:pPr>
      <w:r>
        <w:rPr>
          <w:sz w:val="22"/>
        </w:rPr>
        <w:t>Proyecto académico · Versión corregida 2026</w:t>
        <w:br/>
        <w:br/>
        <w:t>Elaborado por: Ing. William Ramón Flórez</w:t>
      </w:r>
    </w:p>
    <w:p>
      <w:r>
        <w:br w:type="page"/>
      </w:r>
    </w:p>
    <w:p>
      <w:r>
        <w:rPr>
          <w:b/>
          <w:color w:val="142F4F"/>
          <w:sz w:val="28"/>
        </w:rPr>
        <w:t>Contexto del proyecto auditado</w:t>
      </w:r>
    </w:p>
    <w:p>
      <w:pPr>
        <w:spacing w:after="200" w:line="276" w:lineRule="auto"/>
      </w:pPr>
      <w:r>
        <w:t>Este informe completa y adapta el documento académico al sistema SISPE, migrado desde PHP/CodeIgniter hacia Spring Boot, Thymeleaf, Spring Data JPA y MySQL. El alcance incluye autenticación por roles, dashboards diferenciados, usuarios, mesas con códigos QR, menú digital del cliente, pedidos, cocina, facturación y reportes multicriterio. La base de datos existente sistema se conserva sin crear un esquema alternativo.</w:t>
      </w:r>
    </w:p>
    <w:p>
      <w:r>
        <w:rPr>
          <w:b/>
          <w:color w:val="142F4F"/>
          <w:sz w:val="28"/>
        </w:rPr>
        <w:t>1. Comparativa y selección del modelo de calidad</w:t>
      </w:r>
    </w:p>
    <w:p>
      <w:pPr>
        <w:spacing w:after="200" w:line="276" w:lineRule="auto"/>
      </w:pPr>
      <w:r>
        <w:t>Se comparan ISO/IEC 25010, McCall y CMMI. Se selecciona ISO/IEC 25010 como marco central por cubrir adecuación funcional, eficiencia, compatibilidad, usabilidad, fiabilidad, seguridad, mantenibilidad y portabilidad. Es especialmente adecuado para validar la equivalencia PHP→Spring Boot, la seguridad por roles, la integridad de MySQL y la experiencia Thymeleaf.</w:t>
      </w:r>
    </w:p>
    <w:p>
      <w:r>
        <w:rPr>
          <w:b/>
          <w:color w:val="142F4F"/>
          <w:sz w:val="28"/>
        </w:rPr>
        <w:t>2. Matriz de métricas de calidad</w:t>
      </w:r>
    </w:p>
    <w:p>
      <w:pPr>
        <w:spacing w:after="200" w:line="276" w:lineRule="auto"/>
      </w:pPr>
      <w:r>
        <w:t>Mantenibilidad: complejidad ciclomática promedio menor o igual a 10 por método. Adecuación funcional: cobertura global mínima del 80% y 90% en servicios críticos. Eficiencia: percentil 95 de endpoints menor o igual a 200 ms. Fiabilidad: densidad de defectos menor o igual a 0,5 por KLOC. Seguridad: cero vulnerabilidades críticas, sin contraseñas en texto plano, validación de entradas y autorización por rol. Usabilidad: navegación completa por teclado, mensajes claros y diseño responsive.</w:t>
      </w:r>
    </w:p>
    <w:p>
      <w:r>
        <w:rPr>
          <w:b/>
          <w:color w:val="142F4F"/>
          <w:sz w:val="28"/>
        </w:rPr>
        <w:t>3. Plan de gestión de calidad (SQMP)</w:t>
      </w:r>
    </w:p>
    <w:p>
      <w:pPr>
        <w:spacing w:after="200" w:line="276" w:lineRule="auto"/>
      </w:pPr>
      <w:r>
        <w:t>La arquitectura debe conservar separación por entidades, repositorios, servicios, DTOs y controladores. Las vistas Thymeleaf no deben contener lógica de negocio. Los formularios deben validar datos en servidor; las operaciones de guardar, actualizar y eliminar deben validar relaciones y claves foráneas. Las contraseñas deben almacenarse con BCrypt. La revisión de código, las pruebas JUnit/MockMvc, el análisis estático y la revisión manual de los flujos constituyen controles obligatorios.</w:t>
      </w:r>
    </w:p>
    <w:p>
      <w:r>
        <w:rPr>
          <w:b/>
          <w:color w:val="142F4F"/>
          <w:sz w:val="28"/>
        </w:rPr>
        <w:t>3.1 Roles y responsabilidades (RACI)</w:t>
      </w:r>
    </w:p>
    <w:p>
      <w:pPr>
        <w:spacing w:after="200" w:line="276" w:lineRule="auto"/>
      </w:pPr>
      <w:r>
        <w:t>Líder/QA: responsable de estándares, métricas y aprobación. Backend Spring Boot: responsable de entidades JPA, servicios, seguridad, APIs y pruebas. Frontend Thymeleaf: responsable de templates, accesibilidad, estilos y navegación. Administrador funcional: aprueba usuarios, roles, menú, mesas, facturas y reportes. Mesero: gestiona mesas y pedidos autorizados. Cocinero: consulta pedidos y actualiza estados. Cliente: consulta el menú digital, agrega productos y confirma pedidos.</w:t>
      </w:r>
    </w:p>
    <w:p>
      <w:r>
        <w:rPr>
          <w:b/>
          <w:color w:val="142F4F"/>
          <w:sz w:val="28"/>
        </w:rPr>
        <w:t>4. Verificación y validación</w:t>
      </w:r>
    </w:p>
    <w:p>
      <w:pPr>
        <w:spacing w:after="200" w:line="276" w:lineRule="auto"/>
      </w:pPr>
      <w:r>
        <w:t>Verificación: comprobar compilación Maven, mapeos JPA contra MySQL, rutas MVC/REST, validaciones, autorización y renderizado de todas las plantillas. Validación: probar login por rol; habilitar mesa y descargar QR; escanear /cliente/escanear/{id}; consultar menú y agregar productos; registrar, actualizar y eliminar usuarios, mesas, productos y pedidos; cambiar estados en cocina; emitir facturas; ejecutar reportes por estado, mesa y rango de fechas. Toda falla debe registrarse y corregirse antes de liberar.</w:t>
      </w:r>
    </w:p>
    <w:p>
      <w:r>
        <w:rPr>
          <w:b/>
          <w:color w:val="142F4F"/>
          <w:sz w:val="28"/>
        </w:rPr>
        <w:t>5. Informe funcional del sistema SISPE</w:t>
      </w:r>
    </w:p>
    <w:p>
      <w:pPr>
        <w:spacing w:after="200" w:line="276" w:lineRule="auto"/>
      </w:pPr>
      <w:r>
        <w:t>El sistema debe presentar dashboards separados para Administrador, Mesero, Cocinero y Cliente. El administrador gestiona personas, roles, categorías, productos, mesas, facturas y reportes. El mesero opera mesas y pedidos. El cocinero administra la bandeja de preparación. El cliente accede al menú digital asociado a una mesa mediante QR, arma su pedido y recibe confirmación. Los datos se consultan desde MySQL y los cambios se realizan mediante servicios transaccionales.</w:t>
      </w:r>
    </w:p>
    <w:p>
      <w:r>
        <w:rPr>
          <w:b/>
          <w:color w:val="142F4F"/>
          <w:sz w:val="28"/>
        </w:rPr>
        <w:t>6. Mejora continua PHVA</w:t>
      </w:r>
    </w:p>
    <w:p>
      <w:pPr>
        <w:spacing w:after="200" w:line="276" w:lineRule="auto"/>
      </w:pPr>
      <w:r>
        <w:t>Planificar: completar equivalencia funcional y definir métricas. Hacer: implementar CRUD, seguridad, QR, menú digital, cocina y reportes. Verificar: ejecutar pruebas unitarias, integración, revisión SQL, navegación por roles y validación visual. Actuar: corregir defectos, documentar decisiones, elevar cobertura al 85% y actualizar la Definition of Done. Se prioriza el manejo seguro de claves foráneas y la consistencia de estados de pedidos.</w:t>
      </w:r>
    </w:p>
    <w:p>
      <w:r>
        <w:rPr>
          <w:b/>
          <w:color w:val="142F4F"/>
          <w:sz w:val="28"/>
        </w:rPr>
        <w:t>Conclusión</w:t>
      </w:r>
    </w:p>
    <w:p>
      <w:pPr>
        <w:spacing w:after="200" w:line="276" w:lineRule="auto"/>
      </w:pPr>
      <w:r>
        <w:t>La migración de SISPE a Spring Boot + Thymeleaf transforma la lógica PHP existente en una arquitectura mantenible y segura, conservando la base sistema y la experiencia funcional. La aplicación de ISO/IEC 25010, las pruebas V&amp;V y el ciclo PHVA establecen una base verificable para entregar un sistema de pedidos confiable, usable y preparado para evolución.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SISPE · Plan de Gestión de Calidad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