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42F4F"/>
          <w:sz w:val="40"/>
        </w:rPr>
        <w:t>GUÍA PRÁCTICA: GESTIÓN Y CALIDAD DE SOFTWARE</w:t>
      </w:r>
    </w:p>
    <w:p>
      <w:pPr>
        <w:jc w:val="center"/>
      </w:pPr>
      <w:r>
        <w:rPr>
          <w:b/>
          <w:sz w:val="28"/>
        </w:rPr>
        <w:t>Aplicación de modelos, métricas, V&amp;V y mejora continua sobre SISPE</w:t>
      </w:r>
    </w:p>
    <w:p>
      <w:pPr>
        <w:jc w:val="center"/>
      </w:pPr>
      <w:r>
        <w:t>Proyecto Spring Boot / Thymeleaf · Versión corregida 2026</w:t>
        <w:br/>
        <w:br/>
        <w:t>Autor: Ing. William Ramón Flórez</w:t>
      </w:r>
    </w:p>
    <w:p>
      <w:r>
        <w:br w:type="page"/>
      </w:r>
    </w:p>
    <w:p>
      <w:r>
        <w:rPr>
          <w:b/>
          <w:color w:val="142F4F"/>
          <w:sz w:val="28"/>
        </w:rPr>
        <w:t>Proyecto evaluado</w:t>
      </w:r>
    </w:p>
    <w:p>
      <w:pPr>
        <w:spacing w:line="276" w:lineRule="auto" w:after="180"/>
      </w:pPr>
      <w:r>
        <w:t>SISPE es un sistema de gestión de pedidos para restaurante desarrollado con Spring Boot 3.2.4, Java 17, Thymeleaf, Spring Data JPA, MySQL, Spring Security y ZXing. El sistema contiene autenticación, roles, dashboard, usuarios, mesas, códigos QR, menú digital, pedidos, cocina, facturación y reportes. Esta versión reemplaza las referencias genéricas al Sistema de Gestión de Tareas y describe el proyecto real.</w:t>
      </w:r>
    </w:p>
    <w:p>
      <w:r>
        <w:rPr>
          <w:b/>
          <w:color w:val="142F4F"/>
          <w:sz w:val="28"/>
        </w:rPr>
        <w:t>1. Documento comparativo de modelos de calidad</w:t>
      </w:r>
    </w:p>
    <w:p>
      <w:pPr>
        <w:spacing w:line="276" w:lineRule="auto" w:after="180"/>
      </w:pPr>
      <w:r>
        <w:t>ISO/IEC 25010 evalúa adecuación funcional, eficiencia, compatibilidad, usabilidad, fiabilidad, seguridad, mantenibilidad y portabilidad. McCall organiza factores de operación, revisión y transición. Boehm utiliza una estructura jerárquica de utilidad general, utilidad intermedia y calidad primitiva. Se selecciona ISO/IEC 25010 porque se alinea con la migración PHP/CodeIgniter a Spring Boot, la interfaz Thymeleaf, la seguridad por roles y la persistencia JPA/MySQL.</w:t>
      </w:r>
    </w:p>
    <w:p>
      <w:r>
        <w:rPr>
          <w:b/>
          <w:color w:val="142F4F"/>
          <w:sz w:val="28"/>
        </w:rPr>
        <w:t>2. Matriz de métricas aplicada</w:t>
      </w:r>
    </w:p>
    <w:p>
      <w:pPr>
        <w:spacing w:line="276" w:lineRule="auto" w:after="180"/>
      </w:pPr>
      <w:r>
        <w:t>Complejidad ciclomática: CC = E − N + 2P; meta ≤ 10 por método y ≤ 3 en autenticación crítica. Cobertura: líneas ejecutadas/líneas totales × 100; meta ≥ 85% y ≥ 90% en servicios críticos. Seguridad: hallazgos críticos por KLOC; meta 0. Mantenibilidad: índice MI ≥ 85/100. Rendimiento: P95 ≤ 200 ms en consultas principales. Integridad CRUD: 100% de guardar, actualizar y eliminar con validación de claves foráneas. Usabilidad: navegación con mensajes claros, formularios accesibles y responsive.</w:t>
      </w:r>
    </w:p>
    <w:p>
      <w:r>
        <w:rPr>
          <w:b/>
          <w:color w:val="142F4F"/>
          <w:sz w:val="28"/>
        </w:rPr>
        <w:t>3. Plan de Gestión de Calidad (SQMP)</w:t>
      </w:r>
    </w:p>
    <w:p>
      <w:pPr>
        <w:spacing w:line="276" w:lineRule="auto" w:after="180"/>
      </w:pPr>
      <w:r>
        <w:t>Se debe conservar la arquitectura Controller → Service → Repository, utilizar DTOs para formularios y respuestas, validar entradas en servidor, parametrizar consultas y proteger contraseñas con BCrypt. Las vistas Thymeleaf deben limitarse a presentación. Los cambios en MySQL deben respetar la base sistema, sus tablas y relaciones. Cada entrega debe incluir revisión de código, pruebas JUnit/MockMvc, análisis estático y evidencia de validación funcional.</w:t>
      </w:r>
    </w:p>
    <w:p>
      <w:r>
        <w:rPr>
          <w:b/>
          <w:color w:val="142F4F"/>
          <w:sz w:val="28"/>
        </w:rPr>
        <w:t>3.1 Roles y responsabilidades</w:t>
      </w:r>
    </w:p>
    <w:p>
      <w:pPr>
        <w:spacing w:line="276" w:lineRule="auto" w:after="180"/>
      </w:pPr>
      <w:r>
        <w:t>El líder/QA define métricas y aprueba la liberación. Backend mantiene entidades, servicios, controladores, seguridad y pruebas. Frontend mantiene templates, estilos, accesibilidad y responsive. Administrador gestiona usuarios, roles, categorías, productos, mesas, facturas y reportes. Mesero gestiona mesas y pedidos. Cocinero consulta pedidos y actualiza estados. Cliente consulta el menú por QR, agrega productos y confirma el pedido.</w:t>
      </w:r>
    </w:p>
    <w:p>
      <w:r>
        <w:rPr>
          <w:b/>
          <w:color w:val="142F4F"/>
          <w:sz w:val="28"/>
        </w:rPr>
        <w:t>4. Informe de Verificación y Validación (V&amp;V)</w:t>
      </w:r>
    </w:p>
    <w:p>
      <w:pPr>
        <w:spacing w:line="276" w:lineRule="auto" w:after="180"/>
      </w:pPr>
      <w:r>
        <w:t>Verificación: validar compilación Maven, dependencias, mapeos JPA, rutas MVC, formularios, autorización, manejo de errores y consultas. Validación: probar login por rol, CRUD de usuarios/mesas/menú/pedidos, validación de categoría, generación y lectura de QR, menú digital, carrito, cocina, facturación y reportes por filtros.</w:t>
      </w:r>
    </w:p>
    <w:p>
      <w:r>
        <w:rPr>
          <w:b/>
          <w:color w:val="142F4F"/>
          <w:sz w:val="28"/>
        </w:rPr>
        <w:t>4.1 Hallazgos técnicos y acciones</w:t>
      </w:r>
    </w:p>
    <w:p>
      <w:pPr>
        <w:spacing w:line="276" w:lineRule="auto" w:after="180"/>
      </w:pPr>
      <w:r>
        <w:t>Hallazgo 1: el login admite comparación heredada de contraseñas en texto plano además de BCrypt. Acción: migrar credenciales gradualmente a BCrypt y eliminar la comparación directa. Hallazgo 2: la configuración actual permite todas las solicitudes y desactiva CSRF; aunque existe control por sesión/interceptor, debe centralizarse la autorización en Spring Security. Hallazgo 3: una categoría inexistente causa DataIntegrityViolationException en menu. Acción: seleccionar categorías reales desde MySQL y validar la FK antes de guardar. Hallazgo 4: las rutas CRUD deben usar POST para eliminar y actualizar, con autorización y mensajes de error.</w:t>
      </w:r>
    </w:p>
    <w:p>
      <w:r>
        <w:rPr>
          <w:b/>
          <w:color w:val="142F4F"/>
          <w:sz w:val="28"/>
        </w:rPr>
        <w:t>5. Mejora continua basada en PDCA</w:t>
      </w:r>
    </w:p>
    <w:p>
      <w:pPr>
        <w:spacing w:line="276" w:lineRule="auto" w:after="180"/>
      </w:pPr>
      <w:r>
        <w:t>PLAN: definir requisitos, roles, métricas, trazabilidad y criterios de aceptación. DO: implementar CRUD, seguridad, QR, menú cliente, pedidos, cocina, facturación y reportes. CHECK: ejecutar pruebas unitarias, integración, seguridad, rendimiento y recorridos visuales Thymeleaf. ACT: corregir hallazgos, refactorizar complejidad, actualizar la matriz y documentar cada versión. Definition of Done: compila, prueba, protege, valida y conserva la integridad de MySQL.</w:t>
      </w:r>
    </w:p>
    <w:p>
      <w:r>
        <w:rPr>
          <w:b/>
          <w:color w:val="142F4F"/>
          <w:sz w:val="28"/>
        </w:rPr>
        <w:t>Conclusión</w:t>
      </w:r>
    </w:p>
    <w:p>
      <w:pPr>
        <w:spacing w:line="276" w:lineRule="auto" w:after="180"/>
      </w:pPr>
      <w:r>
        <w:t>La guía queda alineada con SISPE y no con un proyecto genérico de tareas. ISO/IEC 25010, SQMP, V&amp;V y PDCA permiten medir la calidad de la migración PHP hacia Spring Boot, reducir riesgos de seguridad, garantizar integridad de pedidos y entregar una solución mantenible, usable y verificable.</w:t>
      </w:r>
    </w:p>
    <w:sectPr w:rsidR="00FC693F" w:rsidRPr="0006063C" w:rsidSect="00034616">
      <w:footerReference w:type="default" r:id="rId9"/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SISPE · Gestión de Calidad de Software ·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