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F4F"/>
          <w:sz w:val="38"/>
        </w:rPr>
        <w:t>GUÍA DIDÁCTICA: PUNTOS 3, 4 Y 5 — MATRIZ DE MÉTRICAS DE CALIDAD</w:t>
      </w:r>
    </w:p>
    <w:p>
      <w:pPr>
        <w:jc w:val="center"/>
      </w:pPr>
      <w:r>
        <w:rPr>
          <w:b/>
        </w:rPr>
        <w:t>Proyecto SISPE · Sistema de pedidos con Spring Boot, Thymeleaf y MySQL</w:t>
      </w:r>
    </w:p>
    <w:p>
      <w:pPr>
        <w:jc w:val="center"/>
      </w:pPr>
      <w:r>
        <w:t>Documento académico adaptado · 2026</w:t>
        <w:br/>
        <w:br/>
        <w:t>Autor: Prof. William Ramón Flórez</w:t>
      </w:r>
    </w:p>
    <w:p>
      <w:r>
        <w:br w:type="page"/>
      </w:r>
    </w:p>
    <w:p>
      <w:r>
        <w:rPr>
          <w:b/>
          <w:color w:val="142F4F"/>
          <w:sz w:val="28"/>
        </w:rPr>
        <w:t>Propósito</w:t>
      </w:r>
    </w:p>
    <w:p>
      <w:pPr>
        <w:spacing w:line="276" w:lineRule="auto" w:after="160"/>
      </w:pPr>
      <w:r>
        <w:t>Esta guía adapta los puntos 3, 4 y 5 al proyecto SISPE. Su finalidad es explicar cómo planificar, medir, verificar y mejorar la calidad de una aplicación migrada desde PHP/CodeIgniter hacia Spring Boot con vistas Thymeleaf, manteniendo la base de datos MySQL existente sistema.</w:t>
      </w:r>
    </w:p>
    <w:p>
      <w:r>
        <w:rPr>
          <w:b/>
          <w:color w:val="142F4F"/>
          <w:sz w:val="28"/>
        </w:rPr>
        <w:t>3. Plan de Gestión de Calidad de Software (SQMP)</w:t>
      </w:r>
    </w:p>
    <w:p>
      <w:pPr>
        <w:spacing w:line="276" w:lineRule="auto" w:after="160"/>
      </w:pPr>
      <w:r>
        <w:t>El SQMP define las reglas para desarrollar y revisar SISPE antes de entregar cada versión. Todo cambio debe conservar la separación entre entidades, repositorios, servicios, DTOs, controladores y templates Thymeleaf. Las vistas solo presentan datos; las reglas de negocio, validaciones y transacciones permanecen en la capa de servicio.</w:t>
      </w:r>
    </w:p>
    <w:p>
      <w:r>
        <w:rPr>
          <w:b/>
          <w:color w:val="142F4F"/>
          <w:sz w:val="28"/>
        </w:rPr>
        <w:t>3.1 Políticas de calidad</w:t>
      </w:r>
    </w:p>
    <w:p>
      <w:pPr>
        <w:spacing w:line="276" w:lineRule="auto" w:after="160"/>
      </w:pPr>
      <w:r>
        <w:t>El proyecto debe mantener compatibilidad con las tablas actuales de MySQL; validar claves foráneas antes de guardar; proteger rutas según Administrador, Mesero, Cocinero y Cliente; almacenar contraseñas con BCrypt; validar formularios en servidor; evitar SQL concatenado; registrar errores; y conservar equivalencia funcional con las vistas PHP de menú, mesas, pedidos, cocina, usuarios, facturación y reportes.</w:t>
      </w:r>
    </w:p>
    <w:p>
      <w:r>
        <w:rPr>
          <w:b/>
          <w:color w:val="142F4F"/>
          <w:sz w:val="28"/>
        </w:rPr>
        <w:t>3.2 Roles y responsabilidades (RACI)</w:t>
      </w:r>
    </w:p>
    <w:p>
      <w:pPr>
        <w:spacing w:line="276" w:lineRule="auto" w:after="160"/>
      </w:pPr>
      <w:r>
        <w:t>Responsable: desarrollador Spring Boot implementa entidades, servicios, controladores, seguridad y pruebas. Aprobador: líder del proyecto valida criterios de aceptación. Consultado: usuario funcional revisa los flujos PHP migrados. Informado: equipo y docente reciben resultados de pruebas, defectos y métricas. El Administrador gestiona usuarios, menú, mesas, facturas y reportes; el Mesero opera mesas y pedidos; el Cocinero actualiza estados; el Cliente consulta el menú QR y confirma pedidos.</w:t>
      </w:r>
    </w:p>
    <w:p>
      <w:r>
        <w:rPr>
          <w:b/>
          <w:color w:val="142F4F"/>
          <w:sz w:val="28"/>
        </w:rPr>
        <w:t>3.3 Matriz de métricas SISPE</w:t>
      </w:r>
    </w:p>
    <w:p>
      <w:pPr>
        <w:spacing w:line="276" w:lineRule="auto" w:after="160"/>
      </w:pPr>
      <w:r>
        <w:t>Mantenibilidad — complejidad ciclomática: CC = 1 + decisiones, meta ≤ 10 por método, SonarQube en cada commit. Duplicación: (líneas duplicadas/líneas totales) × 100, meta ≤ 3%. Fiabilidad — cobertura: (líneas ejecutadas/líneas totales) × 100, meta ≥ 80% global y ≥ 90% en servicios, JaCoCo en cada build. Rendimiento — tiempo de respuesta: TR = respuesta − petición, meta P95 ≤ 200 ms en endpoints REST, JMeter/Postman. Seguridad — vulnerabilidades críticas OWASP, meta 0, SAST y revisión previa a release. Integridad funcional — formularios CRUD exitosos, meta 100% para guardar, actualizar y eliminar en módulos autorizados.</w:t>
      </w:r>
    </w:p>
    <w:p>
      <w:r>
        <w:rPr>
          <w:b/>
          <w:color w:val="142F4F"/>
          <w:sz w:val="28"/>
        </w:rPr>
        <w:t>4. Informe de Verificación y Validación (V&amp;V)</w:t>
      </w:r>
    </w:p>
    <w:p>
      <w:pPr>
        <w:spacing w:line="276" w:lineRule="auto" w:after="160"/>
      </w:pPr>
      <w:r>
        <w:t>Verificación responde: “¿el sistema fue construido correctamente?”. Se revisan compilación Maven, mapeos JPA, rutas MVC/REST, validaciones, seguridad, estructura de templates y consultas parametrizadas. Validación responde: “¿el sistema resuelve la necesidad?”. Se ejecutan flujos reales: iniciar sesión por rol, habilitar mesa, mostrar/descargar QR, escanear mesa, consultar menú, agregar productos, crear pedido, atenderlo en cocina, facturar y generar reportes.</w:t>
      </w:r>
    </w:p>
    <w:p>
      <w:r>
        <w:rPr>
          <w:b/>
          <w:color w:val="142F4F"/>
          <w:sz w:val="28"/>
        </w:rPr>
        <w:t>4.1 Matriz de trazabilidad y casos de prueba</w:t>
      </w:r>
    </w:p>
    <w:p>
      <w:pPr>
        <w:spacing w:line="276" w:lineRule="auto" w:after="160"/>
      </w:pPr>
      <w:r>
        <w:t>RF-01 autenticación y roles → CP-01 login válido y CP-02 acceso prohibido. RF-02 CRUD usuarios → CP-03 registrar, actualizar y eliminar. RF-03 CRUD menú/categorías → CP-04 validar categoría y guardar producto. RF-04 mesas y QR → CP-05 habilitar mesa, visualizar PNG y descargarlo. RF-05 menú cliente → CP-06 escanear QR, agregar producto y confirmar. RF-06 cocina → CP-07 consultar pedidos y cambiar estados válidos. RF-07 reportes → CP-08 filtrar por estado, mesa y fechas. RF-08 facturación → CP-09 consultar y emitir factura. Cada caso debe registrar resultado: Pasó, Falló o Bloqueado, evidencia, fecha y responsable.</w:t>
      </w:r>
    </w:p>
    <w:p>
      <w:r>
        <w:rPr>
          <w:b/>
          <w:color w:val="142F4F"/>
          <w:sz w:val="28"/>
        </w:rPr>
        <w:t>5. Ciclo PHVA aplicado a SISPE</w:t>
      </w:r>
    </w:p>
    <w:p>
      <w:pPr>
        <w:spacing w:line="276" w:lineRule="auto" w:after="160"/>
      </w:pPr>
      <w:r>
        <w:t>Planificar: documentar requisitos, roles, tablas, métricas y criterios. Hacer: implementar progresivamente seguridad, CRUD, menú digital, QR, pedidos, cocina, facturación y reportes. Verificar: ejecutar pruebas unitarias, integración, carga, seguridad y recorridos visuales Thymeleaf. Actuar: corregir defectos, refactorizar métodos complejos, actualizar la matriz de trazabilidad y repetir las mediciones antes de la entrega.</w:t>
      </w:r>
    </w:p>
    <w:p>
      <w:r>
        <w:rPr>
          <w:b/>
          <w:color w:val="142F4F"/>
          <w:sz w:val="28"/>
        </w:rPr>
        <w:t>Criterios de aceptación</w:t>
      </w:r>
    </w:p>
    <w:p>
      <w:pPr>
        <w:spacing w:line="276" w:lineRule="auto" w:after="160"/>
      </w:pPr>
      <w:r>
        <w:t>La versión se acepta cuando compila con Maven, conecta a MySQL sin destruir datos, renderiza las vistas Thymeleaf, restringe dashboards por rol, permite CRUD autorizado, genera QR válido, conserva el flujo cliente PHP, procesa pedidos hasta cocina/facturación y produce reportes multicriterio. Las métricas deben registrarse con resultados reales; no deben presentarse valores estimados como evidencia final.</w:t>
      </w:r>
    </w:p>
    <w:p>
      <w:r>
        <w:rPr>
          <w:b/>
          <w:color w:val="142F4F"/>
          <w:sz w:val="28"/>
        </w:rPr>
        <w:t>Conclusión</w:t>
      </w:r>
    </w:p>
    <w:p>
      <w:pPr>
        <w:spacing w:line="276" w:lineRule="auto" w:after="160"/>
      </w:pPr>
      <w:r>
        <w:t>La matriz de métricas convierte la calidad de SISPE en resultados verificables. La combinación SQMP, V&amp;V y PHVA permite conservar la funcionalidad PHP mientras se obtiene una arquitectura Spring Boot más mantenible, segura, comprobable y preparada para evolución.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SISPE · Guía de Calidad de Software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