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AB50" w14:textId="77777777" w:rsidR="00BA0255" w:rsidRPr="00BA0255" w:rsidRDefault="00BA0255" w:rsidP="00BA0255">
      <w:pPr>
        <w:rPr>
          <w:rFonts w:ascii="Arial" w:hAnsi="Arial" w:cs="Arial"/>
          <w:b/>
          <w:bCs/>
          <w:sz w:val="24"/>
          <w:szCs w:val="24"/>
        </w:rPr>
      </w:pPr>
      <w:r w:rsidRPr="00BA0255">
        <w:rPr>
          <w:rFonts w:ascii="Arial" w:hAnsi="Arial" w:cs="Arial"/>
          <w:b/>
          <w:bCs/>
          <w:sz w:val="24"/>
          <w:szCs w:val="24"/>
        </w:rPr>
        <w:t>Conclusión sobre los porcentajes según la edad:</w:t>
      </w:r>
    </w:p>
    <w:p w14:paraId="60D9156E" w14:textId="00B8FF30" w:rsidR="00BA0255" w:rsidRPr="00BA0255" w:rsidRDefault="00BA0255" w:rsidP="00BA0255">
      <w:pPr>
        <w:rPr>
          <w:rFonts w:ascii="Arial" w:hAnsi="Arial" w:cs="Arial"/>
          <w:sz w:val="24"/>
          <w:szCs w:val="24"/>
        </w:rPr>
      </w:pPr>
      <w:r w:rsidRPr="00BA0255">
        <w:rPr>
          <w:rFonts w:ascii="Arial" w:hAnsi="Arial" w:cs="Arial"/>
          <w:b/>
          <w:bCs/>
          <w:sz w:val="24"/>
          <w:szCs w:val="24"/>
        </w:rPr>
        <w:t>Edad 22 años:</w:t>
      </w:r>
      <w:r w:rsidRPr="00BA0255">
        <w:rPr>
          <w:rFonts w:ascii="Arial" w:hAnsi="Arial" w:cs="Arial"/>
          <w:sz w:val="24"/>
          <w:szCs w:val="24"/>
        </w:rPr>
        <w:t xml:space="preserve"> Los empleados más jóvenes muestran un mayor enfoque en el amor (14.02%) y la salud (14.59%), lo que sugiere que en esta etapa de la vida las relaciones personales y el bienestar físico son prioritarios. Sin embargo, la economía (12.39%) tiene un valor menor, indicando que pueden estar en una fase inicial de estabilidad financiera.</w:t>
      </w:r>
      <w:r>
        <w:rPr>
          <w:rFonts w:ascii="Arial" w:hAnsi="Arial" w:cs="Arial"/>
          <w:sz w:val="24"/>
          <w:szCs w:val="24"/>
        </w:rPr>
        <w:br/>
      </w:r>
    </w:p>
    <w:p w14:paraId="4BDC4BB1" w14:textId="4C6D2864" w:rsidR="00BA0255" w:rsidRPr="00BA0255" w:rsidRDefault="00BA0255" w:rsidP="00BA0255">
      <w:pPr>
        <w:rPr>
          <w:rFonts w:ascii="Arial" w:hAnsi="Arial" w:cs="Arial"/>
          <w:sz w:val="24"/>
          <w:szCs w:val="24"/>
        </w:rPr>
      </w:pPr>
      <w:r w:rsidRPr="00BA0255">
        <w:rPr>
          <w:rFonts w:ascii="Arial" w:hAnsi="Arial" w:cs="Arial"/>
          <w:b/>
          <w:bCs/>
          <w:sz w:val="24"/>
          <w:szCs w:val="24"/>
        </w:rPr>
        <w:t>Edad 23-25 años:</w:t>
      </w:r>
      <w:r w:rsidRPr="00BA0255">
        <w:rPr>
          <w:rFonts w:ascii="Arial" w:hAnsi="Arial" w:cs="Arial"/>
          <w:sz w:val="24"/>
          <w:szCs w:val="24"/>
        </w:rPr>
        <w:t xml:space="preserve"> A partir de los 23 años, el porcentaje de economía comienza a aumentar (13.55% en los 23 años y 14.07% en los 25 años), lo que sugiere que las preocupaciones financieras comienzan a tomar relevancia. El desarrollo personal (13.00%-13.10%) también se mantiene relativamente alto, lo que indica que estas edades buscan mejorar sus habilidades y perspectivas a futuro.</w:t>
      </w:r>
      <w:r>
        <w:rPr>
          <w:rFonts w:ascii="Arial" w:hAnsi="Arial" w:cs="Arial"/>
          <w:sz w:val="24"/>
          <w:szCs w:val="24"/>
        </w:rPr>
        <w:br/>
      </w:r>
    </w:p>
    <w:p w14:paraId="7B013936" w14:textId="3B61C2D0" w:rsidR="00BA0255" w:rsidRPr="00BA0255" w:rsidRDefault="00BA0255" w:rsidP="00BA0255">
      <w:pPr>
        <w:rPr>
          <w:rFonts w:ascii="Arial" w:hAnsi="Arial" w:cs="Arial"/>
          <w:sz w:val="24"/>
          <w:szCs w:val="24"/>
        </w:rPr>
      </w:pPr>
      <w:r w:rsidRPr="00BA0255">
        <w:rPr>
          <w:rFonts w:ascii="Arial" w:hAnsi="Arial" w:cs="Arial"/>
          <w:b/>
          <w:bCs/>
          <w:sz w:val="24"/>
          <w:szCs w:val="24"/>
        </w:rPr>
        <w:t>Edad 26-30 años:</w:t>
      </w:r>
      <w:r w:rsidRPr="00BA0255">
        <w:rPr>
          <w:rFonts w:ascii="Arial" w:hAnsi="Arial" w:cs="Arial"/>
          <w:sz w:val="24"/>
          <w:szCs w:val="24"/>
        </w:rPr>
        <w:t xml:space="preserve"> Se observa una estabilización en los valores de economía (13.26%), salud (13.27%) y desarrollo personal (12.30%), lo que sugiere que los empleados en esta franja de edad pueden estar equilibrando su vida laboral con su bienestar personal.</w:t>
      </w:r>
      <w:r>
        <w:rPr>
          <w:rFonts w:ascii="Arial" w:hAnsi="Arial" w:cs="Arial"/>
          <w:sz w:val="24"/>
          <w:szCs w:val="24"/>
        </w:rPr>
        <w:br/>
      </w:r>
    </w:p>
    <w:p w14:paraId="167278CB" w14:textId="307B7CDB" w:rsidR="00BA0255" w:rsidRPr="00BA0255" w:rsidRDefault="00BA0255" w:rsidP="00BA0255">
      <w:pPr>
        <w:rPr>
          <w:rFonts w:ascii="Arial" w:hAnsi="Arial" w:cs="Arial"/>
          <w:sz w:val="24"/>
          <w:szCs w:val="24"/>
        </w:rPr>
      </w:pPr>
      <w:r w:rsidRPr="00BA0255">
        <w:rPr>
          <w:rFonts w:ascii="Arial" w:hAnsi="Arial" w:cs="Arial"/>
          <w:b/>
          <w:bCs/>
          <w:sz w:val="24"/>
          <w:szCs w:val="24"/>
        </w:rPr>
        <w:t>Edad 31-40 años:</w:t>
      </w:r>
      <w:r w:rsidRPr="00BA0255">
        <w:rPr>
          <w:rFonts w:ascii="Arial" w:hAnsi="Arial" w:cs="Arial"/>
          <w:sz w:val="24"/>
          <w:szCs w:val="24"/>
        </w:rPr>
        <w:t xml:space="preserve"> En este rango, la economía tiende a ser una prioridad, con valores que pueden superar el 14%, reflejando que estas edades están más centradas en la estabilidad financiera y laboral. El amor y la salud se mantienen estables, pero el desarrollo personal puede empezar a disminuir ligeramente.</w:t>
      </w:r>
      <w:r>
        <w:rPr>
          <w:rFonts w:ascii="Arial" w:hAnsi="Arial" w:cs="Arial"/>
          <w:sz w:val="24"/>
          <w:szCs w:val="24"/>
        </w:rPr>
        <w:br/>
      </w:r>
    </w:p>
    <w:p w14:paraId="0C7B443E" w14:textId="0C71A87E" w:rsidR="00BA0255" w:rsidRPr="00BA0255" w:rsidRDefault="00BA0255" w:rsidP="00BA0255">
      <w:pPr>
        <w:rPr>
          <w:rFonts w:ascii="Arial" w:hAnsi="Arial" w:cs="Arial"/>
          <w:sz w:val="24"/>
          <w:szCs w:val="24"/>
        </w:rPr>
      </w:pPr>
      <w:r w:rsidRPr="00BA0255">
        <w:rPr>
          <w:rFonts w:ascii="Arial" w:hAnsi="Arial" w:cs="Arial"/>
          <w:b/>
          <w:bCs/>
          <w:sz w:val="24"/>
          <w:szCs w:val="24"/>
        </w:rPr>
        <w:t>Edad 41-50 años:</w:t>
      </w:r>
      <w:r w:rsidRPr="00BA0255">
        <w:rPr>
          <w:rFonts w:ascii="Arial" w:hAnsi="Arial" w:cs="Arial"/>
          <w:sz w:val="24"/>
          <w:szCs w:val="24"/>
        </w:rPr>
        <w:t xml:space="preserve"> Se percibe que los porcentajes en salud pueden bajar levemente, posiblemente debido a mayores responsabilidades laborales y personales. Sin embargo, el desarrollo personal sigue siendo un aspecto presente, aunque con una tendencia a la baja en algunos casos.</w:t>
      </w:r>
      <w:r>
        <w:rPr>
          <w:rFonts w:ascii="Arial" w:hAnsi="Arial" w:cs="Arial"/>
          <w:sz w:val="24"/>
          <w:szCs w:val="24"/>
        </w:rPr>
        <w:br/>
      </w:r>
    </w:p>
    <w:p w14:paraId="403EB5B9" w14:textId="7F598F75" w:rsidR="00BA0255" w:rsidRPr="00BA0255" w:rsidRDefault="00BA0255" w:rsidP="00BA0255">
      <w:pPr>
        <w:rPr>
          <w:rFonts w:ascii="Arial" w:hAnsi="Arial" w:cs="Arial"/>
          <w:sz w:val="24"/>
          <w:szCs w:val="24"/>
        </w:rPr>
      </w:pPr>
      <w:r w:rsidRPr="00BA0255">
        <w:rPr>
          <w:rFonts w:ascii="Arial" w:hAnsi="Arial" w:cs="Arial"/>
          <w:b/>
          <w:bCs/>
          <w:sz w:val="24"/>
          <w:szCs w:val="24"/>
        </w:rPr>
        <w:t>Edad 51-60 años</w:t>
      </w:r>
      <w:r w:rsidRPr="00BA0255">
        <w:rPr>
          <w:rFonts w:ascii="Arial" w:hAnsi="Arial" w:cs="Arial"/>
          <w:sz w:val="24"/>
          <w:szCs w:val="24"/>
        </w:rPr>
        <w:t>: En este rango, la economía ya se encuentra estable, pero la salud puede convertirse en una preocupación creciente. El desarrollo personal puede disminuir, ya que los empleados pueden centrarse más en mantener su calidad de vida que en el crecimiento profesional.</w:t>
      </w:r>
      <w:r>
        <w:rPr>
          <w:rFonts w:ascii="Arial" w:hAnsi="Arial" w:cs="Arial"/>
          <w:sz w:val="24"/>
          <w:szCs w:val="24"/>
        </w:rPr>
        <w:br/>
      </w:r>
    </w:p>
    <w:p w14:paraId="40CE55D8" w14:textId="77777777" w:rsidR="00BA0255" w:rsidRPr="00BA0255" w:rsidRDefault="00BA0255" w:rsidP="00BA0255">
      <w:pPr>
        <w:rPr>
          <w:rFonts w:ascii="Arial" w:hAnsi="Arial" w:cs="Arial"/>
          <w:b/>
          <w:bCs/>
          <w:sz w:val="24"/>
          <w:szCs w:val="24"/>
        </w:rPr>
      </w:pPr>
      <w:r w:rsidRPr="00BA0255">
        <w:rPr>
          <w:rFonts w:ascii="Arial" w:hAnsi="Arial" w:cs="Arial"/>
          <w:b/>
          <w:bCs/>
          <w:sz w:val="24"/>
          <w:szCs w:val="24"/>
        </w:rPr>
        <w:t>Resumen general por edad:</w:t>
      </w:r>
    </w:p>
    <w:p w14:paraId="46C01EED" w14:textId="77777777" w:rsidR="00BA0255" w:rsidRPr="00BA0255" w:rsidRDefault="00BA0255" w:rsidP="00BA0255">
      <w:pPr>
        <w:rPr>
          <w:rFonts w:ascii="Arial" w:hAnsi="Arial" w:cs="Arial"/>
          <w:sz w:val="24"/>
          <w:szCs w:val="24"/>
        </w:rPr>
      </w:pPr>
      <w:r w:rsidRPr="00BA0255">
        <w:rPr>
          <w:rFonts w:ascii="Arial" w:hAnsi="Arial" w:cs="Arial"/>
          <w:sz w:val="24"/>
          <w:szCs w:val="24"/>
        </w:rPr>
        <w:t>Los más jóvenes (22-25 años) priorizan el amor y la salud, con una economía en crecimiento progresivo.</w:t>
      </w:r>
    </w:p>
    <w:p w14:paraId="536F53AC" w14:textId="77777777" w:rsidR="00BA0255" w:rsidRPr="00BA0255" w:rsidRDefault="00BA0255" w:rsidP="00BA0255">
      <w:pPr>
        <w:rPr>
          <w:rFonts w:ascii="Arial" w:hAnsi="Arial" w:cs="Arial"/>
          <w:sz w:val="24"/>
          <w:szCs w:val="24"/>
        </w:rPr>
      </w:pPr>
      <w:r w:rsidRPr="00BA0255">
        <w:rPr>
          <w:rFonts w:ascii="Arial" w:hAnsi="Arial" w:cs="Arial"/>
          <w:sz w:val="24"/>
          <w:szCs w:val="24"/>
        </w:rPr>
        <w:t>De 26 a 35 años, se observa un balance entre economía, salud y desarrollo personal.</w:t>
      </w:r>
    </w:p>
    <w:p w14:paraId="70E9C4B3" w14:textId="77777777" w:rsidR="00BA0255" w:rsidRPr="00BA0255" w:rsidRDefault="00BA0255" w:rsidP="00BA0255">
      <w:pPr>
        <w:rPr>
          <w:rFonts w:ascii="Arial" w:hAnsi="Arial" w:cs="Arial"/>
          <w:sz w:val="24"/>
          <w:szCs w:val="24"/>
        </w:rPr>
      </w:pPr>
      <w:r w:rsidRPr="00BA0255">
        <w:rPr>
          <w:rFonts w:ascii="Arial" w:hAnsi="Arial" w:cs="Arial"/>
          <w:sz w:val="24"/>
          <w:szCs w:val="24"/>
        </w:rPr>
        <w:lastRenderedPageBreak/>
        <w:t>De 36 a 45 años, la economía se vuelve una prioridad, mientras que la salud y el desarrollo personal pueden disminuir ligeramente.</w:t>
      </w:r>
    </w:p>
    <w:p w14:paraId="532BF15A" w14:textId="77777777" w:rsidR="00BA0255" w:rsidRPr="00BA0255" w:rsidRDefault="00BA0255" w:rsidP="00BA0255">
      <w:pPr>
        <w:rPr>
          <w:rFonts w:ascii="Arial" w:hAnsi="Arial" w:cs="Arial"/>
          <w:sz w:val="24"/>
          <w:szCs w:val="24"/>
        </w:rPr>
      </w:pPr>
      <w:r w:rsidRPr="00BA0255">
        <w:rPr>
          <w:rFonts w:ascii="Arial" w:hAnsi="Arial" w:cs="Arial"/>
          <w:sz w:val="24"/>
          <w:szCs w:val="24"/>
        </w:rPr>
        <w:t>De 46 a 60 años, la estabilidad económica se mantiene, pero la salud se convierte en un factor clave, y el desarrollo personal puede perder relevancia.</w:t>
      </w:r>
    </w:p>
    <w:p w14:paraId="05BB54E1" w14:textId="4A7D3C6C" w:rsidR="00BA0255" w:rsidRPr="00BA0255" w:rsidRDefault="00BA0255" w:rsidP="00BA0255">
      <w:pPr>
        <w:rPr>
          <w:rFonts w:ascii="Arial" w:hAnsi="Arial" w:cs="Arial"/>
          <w:sz w:val="24"/>
          <w:szCs w:val="24"/>
        </w:rPr>
      </w:pPr>
      <w:r w:rsidRPr="00BA0255">
        <w:rPr>
          <w:rFonts w:ascii="Arial" w:hAnsi="Arial" w:cs="Arial"/>
          <w:sz w:val="24"/>
          <w:szCs w:val="24"/>
        </w:rPr>
        <w:t>Esto demuestra cómo las prioridades de los empleados cambian a lo largo de la vida, desde un enfoque en bienestar y relaciones personales en la juventud hasta una mayor preocupación por la economía y la estabilidad en la adultez. ​</w:t>
      </w:r>
      <w:r>
        <w:rPr>
          <w:rFonts w:ascii="Arial" w:hAnsi="Arial" w:cs="Arial"/>
          <w:sz w:val="24"/>
          <w:szCs w:val="24"/>
        </w:rPr>
        <w:br/>
      </w:r>
    </w:p>
    <w:p w14:paraId="3388E745" w14:textId="30B0B277" w:rsidR="00BA0255" w:rsidRPr="00BA0255" w:rsidRDefault="00BA0255" w:rsidP="00BA0255">
      <w:pPr>
        <w:rPr>
          <w:rFonts w:ascii="Arial" w:hAnsi="Arial" w:cs="Arial"/>
          <w:b/>
          <w:bCs/>
          <w:sz w:val="24"/>
          <w:szCs w:val="24"/>
        </w:rPr>
      </w:pPr>
      <w:r w:rsidRPr="00BA0255">
        <w:rPr>
          <w:rFonts w:ascii="Arial" w:hAnsi="Arial" w:cs="Arial"/>
          <w:b/>
          <w:bCs/>
          <w:sz w:val="24"/>
          <w:szCs w:val="24"/>
        </w:rPr>
        <w:t>Conclusión sobre los porcentajes según el cargo:</w:t>
      </w:r>
    </w:p>
    <w:p w14:paraId="43323992" w14:textId="7CA2C844" w:rsidR="00BA0255" w:rsidRPr="00BA0255" w:rsidRDefault="00BA0255" w:rsidP="00BA0255">
      <w:pPr>
        <w:rPr>
          <w:rFonts w:ascii="Arial" w:hAnsi="Arial" w:cs="Arial"/>
          <w:sz w:val="24"/>
          <w:szCs w:val="24"/>
        </w:rPr>
      </w:pPr>
      <w:r w:rsidRPr="00BA0255">
        <w:rPr>
          <w:rFonts w:ascii="Arial" w:hAnsi="Arial" w:cs="Arial"/>
          <w:b/>
          <w:bCs/>
          <w:sz w:val="24"/>
          <w:szCs w:val="24"/>
        </w:rPr>
        <w:t>Administrativo:</w:t>
      </w:r>
      <w:r w:rsidRPr="00BA0255">
        <w:rPr>
          <w:rFonts w:ascii="Arial" w:hAnsi="Arial" w:cs="Arial"/>
          <w:sz w:val="24"/>
          <w:szCs w:val="24"/>
        </w:rPr>
        <w:t xml:space="preserve"> Se observa un equilibrio en los porcentajes de amor (13.17%), economía (13.04%), salud (12.62%) y desarrollo personal (12.74%). Esto sugiere que los empleados en este cargo mantienen una distribución homogénea de sus prioridades, sin enfocarse demasiado en un solo aspecto.</w:t>
      </w:r>
      <w:r>
        <w:rPr>
          <w:rFonts w:ascii="Arial" w:hAnsi="Arial" w:cs="Arial"/>
          <w:sz w:val="24"/>
          <w:szCs w:val="24"/>
        </w:rPr>
        <w:br/>
      </w:r>
    </w:p>
    <w:p w14:paraId="7DF14521" w14:textId="2341C47A" w:rsidR="00BA0255" w:rsidRPr="00BA0255" w:rsidRDefault="00BA0255" w:rsidP="00BA0255">
      <w:pPr>
        <w:rPr>
          <w:rFonts w:ascii="Arial" w:hAnsi="Arial" w:cs="Arial"/>
          <w:sz w:val="24"/>
          <w:szCs w:val="24"/>
        </w:rPr>
      </w:pPr>
      <w:r w:rsidRPr="00BA0255">
        <w:rPr>
          <w:rFonts w:ascii="Arial" w:hAnsi="Arial" w:cs="Arial"/>
          <w:b/>
          <w:bCs/>
          <w:sz w:val="24"/>
          <w:szCs w:val="24"/>
        </w:rPr>
        <w:t>Analista:</w:t>
      </w:r>
      <w:r w:rsidRPr="00BA0255">
        <w:rPr>
          <w:rFonts w:ascii="Arial" w:hAnsi="Arial" w:cs="Arial"/>
          <w:sz w:val="24"/>
          <w:szCs w:val="24"/>
        </w:rPr>
        <w:t xml:space="preserve"> Tienen valores similares a los administrativos, con una ligera mejora en desarrollo personal (12.99%). La estabilidad económica y el bienestar emocional parecen mantenerse equilibrados en este grupo.</w:t>
      </w:r>
      <w:r>
        <w:rPr>
          <w:rFonts w:ascii="Arial" w:hAnsi="Arial" w:cs="Arial"/>
          <w:sz w:val="24"/>
          <w:szCs w:val="24"/>
        </w:rPr>
        <w:br/>
      </w:r>
    </w:p>
    <w:p w14:paraId="15EB5750" w14:textId="0C6658D6" w:rsidR="00BA0255" w:rsidRPr="00BA0255" w:rsidRDefault="00BA0255" w:rsidP="00BA0255">
      <w:pPr>
        <w:rPr>
          <w:rFonts w:ascii="Arial" w:hAnsi="Arial" w:cs="Arial"/>
          <w:sz w:val="24"/>
          <w:szCs w:val="24"/>
        </w:rPr>
      </w:pPr>
      <w:r w:rsidRPr="00BA0255">
        <w:rPr>
          <w:rFonts w:ascii="Arial" w:hAnsi="Arial" w:cs="Arial"/>
          <w:b/>
          <w:bCs/>
          <w:sz w:val="24"/>
          <w:szCs w:val="24"/>
        </w:rPr>
        <w:t>Contador:</w:t>
      </w:r>
      <w:r w:rsidRPr="00BA0255">
        <w:rPr>
          <w:rFonts w:ascii="Arial" w:hAnsi="Arial" w:cs="Arial"/>
          <w:sz w:val="24"/>
          <w:szCs w:val="24"/>
        </w:rPr>
        <w:t xml:space="preserve"> Presentan un porcentaje de amor y economía cercanos (13.33% y 13.01%, respectivamente), mientras que el desarrollo personal (12.91%) y la salud (12.94%) muestran una distribución similar. Esto sugiere que, aunque están en un entorno estable, el desarrollo personal puede no ser su principal prioridad.</w:t>
      </w:r>
      <w:r>
        <w:rPr>
          <w:rFonts w:ascii="Arial" w:hAnsi="Arial" w:cs="Arial"/>
          <w:sz w:val="24"/>
          <w:szCs w:val="24"/>
        </w:rPr>
        <w:br/>
      </w:r>
    </w:p>
    <w:p w14:paraId="7BABD9C2" w14:textId="15FA9BB6" w:rsidR="00BA0255" w:rsidRPr="00BA0255" w:rsidRDefault="00BA0255" w:rsidP="00BA0255">
      <w:pPr>
        <w:rPr>
          <w:rFonts w:ascii="Arial" w:hAnsi="Arial" w:cs="Arial"/>
          <w:sz w:val="24"/>
          <w:szCs w:val="24"/>
        </w:rPr>
      </w:pPr>
      <w:r w:rsidRPr="00BA0255">
        <w:rPr>
          <w:rFonts w:ascii="Arial" w:hAnsi="Arial" w:cs="Arial"/>
          <w:b/>
          <w:bCs/>
          <w:sz w:val="24"/>
          <w:szCs w:val="24"/>
        </w:rPr>
        <w:t>Desarrollador:</w:t>
      </w:r>
      <w:r w:rsidRPr="00BA0255">
        <w:rPr>
          <w:rFonts w:ascii="Arial" w:hAnsi="Arial" w:cs="Arial"/>
          <w:sz w:val="24"/>
          <w:szCs w:val="24"/>
        </w:rPr>
        <w:t xml:space="preserve"> Destacan en el desarrollo personal (13.45%), lo que indica que buscan crecimiento profesional. Sin embargo, el amor (12.72%) y la salud (12.59%) tienen valores más bajos, lo que podría sugerir que el enfoque laboral puede afectar sus relaciones personales y bienestar físico.</w:t>
      </w:r>
      <w:r>
        <w:rPr>
          <w:rFonts w:ascii="Arial" w:hAnsi="Arial" w:cs="Arial"/>
          <w:sz w:val="24"/>
          <w:szCs w:val="24"/>
        </w:rPr>
        <w:br/>
      </w:r>
    </w:p>
    <w:p w14:paraId="1715C8BF" w14:textId="56A0350C" w:rsidR="00BA0255" w:rsidRPr="00BA0255" w:rsidRDefault="00BA0255" w:rsidP="00BA0255">
      <w:pPr>
        <w:rPr>
          <w:rFonts w:ascii="Arial" w:hAnsi="Arial" w:cs="Arial"/>
          <w:sz w:val="24"/>
          <w:szCs w:val="24"/>
        </w:rPr>
      </w:pPr>
      <w:r w:rsidRPr="00BA0255">
        <w:rPr>
          <w:rFonts w:ascii="Arial" w:hAnsi="Arial" w:cs="Arial"/>
          <w:b/>
          <w:bCs/>
          <w:sz w:val="24"/>
          <w:szCs w:val="24"/>
        </w:rPr>
        <w:t>Gerente</w:t>
      </w:r>
      <w:r w:rsidRPr="00BA0255">
        <w:rPr>
          <w:rFonts w:ascii="Arial" w:hAnsi="Arial" w:cs="Arial"/>
          <w:sz w:val="24"/>
          <w:szCs w:val="24"/>
        </w:rPr>
        <w:t>: Este grupo tiene el porcentaje más alto en economía (13.71%) y salud (13.10%), lo que indica que su estabilidad financiera es una de sus prioridades, junto con la salud. Sin embargo, el desarrollo personal (12.66%) es el más bajo en comparación con otros cargos, lo que sugiere que pueden estar más enfocados en su presente que en su crecimiento a largo plazo.</w:t>
      </w:r>
      <w:r>
        <w:rPr>
          <w:rFonts w:ascii="Arial" w:hAnsi="Arial" w:cs="Arial"/>
          <w:sz w:val="24"/>
          <w:szCs w:val="24"/>
        </w:rPr>
        <w:br/>
      </w:r>
    </w:p>
    <w:p w14:paraId="39C2FBD6" w14:textId="77777777" w:rsidR="00BA0255" w:rsidRPr="00BA0255" w:rsidRDefault="00BA0255" w:rsidP="00BA0255">
      <w:pPr>
        <w:rPr>
          <w:rFonts w:ascii="Arial" w:hAnsi="Arial" w:cs="Arial"/>
          <w:b/>
          <w:bCs/>
          <w:sz w:val="24"/>
          <w:szCs w:val="24"/>
        </w:rPr>
      </w:pPr>
      <w:r w:rsidRPr="00BA0255">
        <w:rPr>
          <w:rFonts w:ascii="Arial" w:hAnsi="Arial" w:cs="Arial"/>
          <w:b/>
          <w:bCs/>
          <w:sz w:val="24"/>
          <w:szCs w:val="24"/>
        </w:rPr>
        <w:t>Resumen general por cargo:</w:t>
      </w:r>
    </w:p>
    <w:p w14:paraId="08442048" w14:textId="77777777" w:rsidR="00BA0255" w:rsidRPr="00BA0255" w:rsidRDefault="00BA0255" w:rsidP="00BA0255">
      <w:pPr>
        <w:rPr>
          <w:rFonts w:ascii="Arial" w:hAnsi="Arial" w:cs="Arial"/>
          <w:sz w:val="24"/>
          <w:szCs w:val="24"/>
        </w:rPr>
      </w:pPr>
      <w:r w:rsidRPr="00BA0255">
        <w:rPr>
          <w:rFonts w:ascii="Arial" w:hAnsi="Arial" w:cs="Arial"/>
          <w:sz w:val="24"/>
          <w:szCs w:val="24"/>
        </w:rPr>
        <w:t>Cargos operativos y administrativos (Administrativo, Analista, Contador) tienen un equilibrio entre amor, salud y economía, con un enfoque moderado en el desarrollo personal.</w:t>
      </w:r>
    </w:p>
    <w:p w14:paraId="38970DF9" w14:textId="77777777" w:rsidR="00BA0255" w:rsidRPr="00BA0255" w:rsidRDefault="00BA0255" w:rsidP="00BA0255">
      <w:pPr>
        <w:rPr>
          <w:rFonts w:ascii="Arial" w:hAnsi="Arial" w:cs="Arial"/>
          <w:sz w:val="24"/>
          <w:szCs w:val="24"/>
        </w:rPr>
      </w:pPr>
      <w:r w:rsidRPr="00BA0255">
        <w:rPr>
          <w:rFonts w:ascii="Arial" w:hAnsi="Arial" w:cs="Arial"/>
          <w:sz w:val="24"/>
          <w:szCs w:val="24"/>
        </w:rPr>
        <w:lastRenderedPageBreak/>
        <w:t>Los Desarrolladores tienen el porcentaje más alto en desarrollo personal, lo que sugiere que buscan crecer en su carrera, aunque pueden descuidar la salud y el amor.</w:t>
      </w:r>
    </w:p>
    <w:p w14:paraId="15FFDC8E" w14:textId="77777777" w:rsidR="00BA0255" w:rsidRPr="00BA0255" w:rsidRDefault="00BA0255" w:rsidP="00BA0255">
      <w:pPr>
        <w:rPr>
          <w:rFonts w:ascii="Arial" w:hAnsi="Arial" w:cs="Arial"/>
          <w:sz w:val="24"/>
          <w:szCs w:val="24"/>
        </w:rPr>
      </w:pPr>
      <w:r w:rsidRPr="00BA0255">
        <w:rPr>
          <w:rFonts w:ascii="Arial" w:hAnsi="Arial" w:cs="Arial"/>
          <w:sz w:val="24"/>
          <w:szCs w:val="24"/>
        </w:rPr>
        <w:t>Los Gerentes priorizan la economía y la salud, reflejando estabilidad financiera y una posible mayor conciencia del bienestar, pero con menos foco en el crecimiento personal.</w:t>
      </w:r>
    </w:p>
    <w:p w14:paraId="68AA57D9" w14:textId="77777777" w:rsidR="00BA0255" w:rsidRPr="00BA0255" w:rsidRDefault="00BA0255" w:rsidP="00BA0255">
      <w:pPr>
        <w:rPr>
          <w:rFonts w:ascii="Arial" w:hAnsi="Arial" w:cs="Arial"/>
          <w:b/>
          <w:bCs/>
          <w:sz w:val="24"/>
          <w:szCs w:val="24"/>
        </w:rPr>
      </w:pPr>
      <w:r w:rsidRPr="00BA0255">
        <w:rPr>
          <w:rFonts w:ascii="Arial" w:hAnsi="Arial" w:cs="Arial"/>
          <w:sz w:val="24"/>
          <w:szCs w:val="24"/>
        </w:rPr>
        <w:t>Esto muestra cómo cada cargo tiene un perfil diferente de prioridades, con gerentes enfocados en estabilidad económica, desarrolladores en crecimiento profesional y empleados administrativos en un balance entre las diferentes áreas de su vida</w:t>
      </w:r>
      <w:r>
        <w:rPr>
          <w:rFonts w:ascii="Arial" w:hAnsi="Arial" w:cs="Arial"/>
          <w:sz w:val="24"/>
          <w:szCs w:val="24"/>
        </w:rPr>
        <w:br/>
      </w:r>
      <w:r>
        <w:rPr>
          <w:rFonts w:ascii="Arial" w:hAnsi="Arial" w:cs="Arial"/>
          <w:sz w:val="24"/>
          <w:szCs w:val="24"/>
        </w:rPr>
        <w:br/>
      </w:r>
      <w:r>
        <w:rPr>
          <w:rFonts w:ascii="Arial" w:hAnsi="Arial" w:cs="Arial"/>
          <w:sz w:val="24"/>
          <w:szCs w:val="24"/>
        </w:rPr>
        <w:br/>
      </w:r>
      <w:r>
        <w:rPr>
          <w:rFonts w:ascii="Arial" w:hAnsi="Arial" w:cs="Arial"/>
          <w:sz w:val="24"/>
          <w:szCs w:val="24"/>
        </w:rPr>
        <w:br/>
      </w:r>
      <w:r w:rsidRPr="00BA0255">
        <w:rPr>
          <w:rFonts w:ascii="Arial" w:hAnsi="Arial" w:cs="Arial"/>
          <w:b/>
          <w:bCs/>
          <w:sz w:val="24"/>
          <w:szCs w:val="24"/>
        </w:rPr>
        <w:t>Conclusión sobre los porcentajes según el género:</w:t>
      </w:r>
    </w:p>
    <w:p w14:paraId="786C5023" w14:textId="2908BC14" w:rsidR="00BA0255" w:rsidRPr="00BA0255" w:rsidRDefault="00BA0255" w:rsidP="00BA0255">
      <w:pPr>
        <w:rPr>
          <w:rFonts w:ascii="Arial" w:hAnsi="Arial" w:cs="Arial"/>
          <w:sz w:val="24"/>
          <w:szCs w:val="24"/>
        </w:rPr>
      </w:pPr>
      <w:r w:rsidRPr="00BA0255">
        <w:rPr>
          <w:rFonts w:ascii="Arial" w:hAnsi="Arial" w:cs="Arial"/>
          <w:b/>
          <w:bCs/>
          <w:sz w:val="24"/>
          <w:szCs w:val="24"/>
        </w:rPr>
        <w:t>Femenino:</w:t>
      </w:r>
      <w:r w:rsidRPr="00BA0255">
        <w:rPr>
          <w:rFonts w:ascii="Arial" w:hAnsi="Arial" w:cs="Arial"/>
          <w:sz w:val="24"/>
          <w:szCs w:val="24"/>
        </w:rPr>
        <w:t xml:space="preserve"> Las mujeres presentan valores ligeramente más altos en amor (13.21%), economía (13.18%) y salud (12.94%), lo que sugiere que su enfoque está más equilibrado en términos de bienestar emocional y estabilidad financiera. El desarrollo personal (12.95%) también se mantiene estable, indicando que buscan un crecimiento moderado en su vida profesional y personal.</w:t>
      </w:r>
      <w:r>
        <w:rPr>
          <w:rFonts w:ascii="Arial" w:hAnsi="Arial" w:cs="Arial"/>
          <w:sz w:val="24"/>
          <w:szCs w:val="24"/>
        </w:rPr>
        <w:br/>
      </w:r>
      <w:r>
        <w:rPr>
          <w:rFonts w:ascii="Arial" w:hAnsi="Arial" w:cs="Arial"/>
          <w:sz w:val="24"/>
          <w:szCs w:val="24"/>
        </w:rPr>
        <w:br/>
      </w:r>
      <w:r w:rsidRPr="00BA0255">
        <w:rPr>
          <w:rFonts w:ascii="Arial" w:hAnsi="Arial" w:cs="Arial"/>
          <w:b/>
          <w:bCs/>
          <w:sz w:val="24"/>
          <w:szCs w:val="24"/>
        </w:rPr>
        <w:t>Masculino:</w:t>
      </w:r>
      <w:r w:rsidRPr="00BA0255">
        <w:rPr>
          <w:rFonts w:ascii="Arial" w:hAnsi="Arial" w:cs="Arial"/>
          <w:sz w:val="24"/>
          <w:szCs w:val="24"/>
        </w:rPr>
        <w:t xml:space="preserve"> Los hombres tienen un porcentaje ligeramente inferior en amor (12.91%) y economía (13.16%), lo que sugiere que pueden priorizar menos los aspectos emocionales y financieros en comparación con las mujeres. Sin embargo, presentan un mayor enfoque en desarrollo personal (13.03%), lo que indica que pueden estar más centrados en mejorar sus habilidades y crecimiento profesional.</w:t>
      </w:r>
      <w:r>
        <w:rPr>
          <w:rFonts w:ascii="Arial" w:hAnsi="Arial" w:cs="Arial"/>
          <w:sz w:val="24"/>
          <w:szCs w:val="24"/>
        </w:rPr>
        <w:br/>
      </w:r>
      <w:r>
        <w:rPr>
          <w:rFonts w:ascii="Arial" w:hAnsi="Arial" w:cs="Arial"/>
          <w:sz w:val="24"/>
          <w:szCs w:val="24"/>
        </w:rPr>
        <w:br/>
      </w:r>
      <w:r w:rsidRPr="00BA0255">
        <w:rPr>
          <w:rFonts w:ascii="Arial" w:hAnsi="Arial" w:cs="Arial"/>
          <w:b/>
          <w:bCs/>
          <w:sz w:val="24"/>
          <w:szCs w:val="24"/>
        </w:rPr>
        <w:t>Resumen general por género:</w:t>
      </w:r>
    </w:p>
    <w:p w14:paraId="6E4B57AE" w14:textId="77777777" w:rsidR="00BA0255" w:rsidRPr="00BA0255" w:rsidRDefault="00BA0255" w:rsidP="00BA0255">
      <w:pPr>
        <w:rPr>
          <w:rFonts w:ascii="Arial" w:hAnsi="Arial" w:cs="Arial"/>
          <w:sz w:val="24"/>
          <w:szCs w:val="24"/>
        </w:rPr>
      </w:pPr>
      <w:r w:rsidRPr="00BA0255">
        <w:rPr>
          <w:rFonts w:ascii="Arial" w:hAnsi="Arial" w:cs="Arial"/>
          <w:sz w:val="24"/>
          <w:szCs w:val="24"/>
        </w:rPr>
        <w:t>Las mujeres tienden a distribuir su enfoque de manera equilibrada en amor, salud y economía, con un desarrollo personal moderado.</w:t>
      </w:r>
    </w:p>
    <w:p w14:paraId="5B6FAFE9" w14:textId="77777777" w:rsidR="00BA0255" w:rsidRPr="00BA0255" w:rsidRDefault="00BA0255" w:rsidP="00BA0255">
      <w:pPr>
        <w:rPr>
          <w:rFonts w:ascii="Arial" w:hAnsi="Arial" w:cs="Arial"/>
          <w:sz w:val="24"/>
          <w:szCs w:val="24"/>
        </w:rPr>
      </w:pPr>
      <w:r w:rsidRPr="00BA0255">
        <w:rPr>
          <w:rFonts w:ascii="Arial" w:hAnsi="Arial" w:cs="Arial"/>
          <w:sz w:val="24"/>
          <w:szCs w:val="24"/>
        </w:rPr>
        <w:t>Los hombres muestran una leve inclinación hacia el desarrollo personal, lo que sugiere una mayor preocupación por su crecimiento profesional y académico, mientras que el amor y la economía tienen valores ligeramente más bajos en comparación con las mujeres.</w:t>
      </w:r>
    </w:p>
    <w:p w14:paraId="0B4FA90B" w14:textId="66BC67AB" w:rsidR="00551F2A" w:rsidRPr="00551F2A" w:rsidRDefault="00BA0255" w:rsidP="00BA0255">
      <w:pPr>
        <w:rPr>
          <w:rFonts w:ascii="Arial" w:hAnsi="Arial" w:cs="Arial"/>
          <w:sz w:val="24"/>
          <w:szCs w:val="24"/>
        </w:rPr>
      </w:pPr>
      <w:r w:rsidRPr="00BA0255">
        <w:rPr>
          <w:rFonts w:ascii="Arial" w:hAnsi="Arial" w:cs="Arial"/>
          <w:sz w:val="24"/>
          <w:szCs w:val="24"/>
        </w:rPr>
        <w:t>Este análisis indica que, aunque las diferencias no son extremas, las mujeres pueden priorizar más el bienestar integral, mientras que los hombres tienden a enfocarse un poco más en el crecimiento personal. ​</w:t>
      </w:r>
    </w:p>
    <w:sectPr w:rsidR="00551F2A" w:rsidRPr="00551F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2A"/>
    <w:rsid w:val="000E021F"/>
    <w:rsid w:val="00394EEB"/>
    <w:rsid w:val="004C1EE8"/>
    <w:rsid w:val="00551F2A"/>
    <w:rsid w:val="00A62220"/>
    <w:rsid w:val="00BA0255"/>
    <w:rsid w:val="00CA3F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BF86"/>
  <w15:chartTrackingRefBased/>
  <w15:docId w15:val="{0CAF9CF7-20DE-42A6-91CF-F7D433DF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1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51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51F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51F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51F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51F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F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F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F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1F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51F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51F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51F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51F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51F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1F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1F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1F2A"/>
    <w:rPr>
      <w:rFonts w:eastAsiaTheme="majorEastAsia" w:cstheme="majorBidi"/>
      <w:color w:val="272727" w:themeColor="text1" w:themeTint="D8"/>
    </w:rPr>
  </w:style>
  <w:style w:type="paragraph" w:styleId="Ttulo">
    <w:name w:val="Title"/>
    <w:basedOn w:val="Normal"/>
    <w:next w:val="Normal"/>
    <w:link w:val="TtuloCar"/>
    <w:uiPriority w:val="10"/>
    <w:qFormat/>
    <w:rsid w:val="0055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1F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1F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1F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F2A"/>
    <w:pPr>
      <w:spacing w:before="160"/>
      <w:jc w:val="center"/>
    </w:pPr>
    <w:rPr>
      <w:i/>
      <w:iCs/>
      <w:color w:val="404040" w:themeColor="text1" w:themeTint="BF"/>
    </w:rPr>
  </w:style>
  <w:style w:type="character" w:customStyle="1" w:styleId="CitaCar">
    <w:name w:val="Cita Car"/>
    <w:basedOn w:val="Fuentedeprrafopredeter"/>
    <w:link w:val="Cita"/>
    <w:uiPriority w:val="29"/>
    <w:rsid w:val="00551F2A"/>
    <w:rPr>
      <w:i/>
      <w:iCs/>
      <w:color w:val="404040" w:themeColor="text1" w:themeTint="BF"/>
    </w:rPr>
  </w:style>
  <w:style w:type="paragraph" w:styleId="Prrafodelista">
    <w:name w:val="List Paragraph"/>
    <w:basedOn w:val="Normal"/>
    <w:uiPriority w:val="34"/>
    <w:qFormat/>
    <w:rsid w:val="00551F2A"/>
    <w:pPr>
      <w:ind w:left="720"/>
      <w:contextualSpacing/>
    </w:pPr>
  </w:style>
  <w:style w:type="character" w:styleId="nfasisintenso">
    <w:name w:val="Intense Emphasis"/>
    <w:basedOn w:val="Fuentedeprrafopredeter"/>
    <w:uiPriority w:val="21"/>
    <w:qFormat/>
    <w:rsid w:val="00551F2A"/>
    <w:rPr>
      <w:i/>
      <w:iCs/>
      <w:color w:val="2F5496" w:themeColor="accent1" w:themeShade="BF"/>
    </w:rPr>
  </w:style>
  <w:style w:type="paragraph" w:styleId="Citadestacada">
    <w:name w:val="Intense Quote"/>
    <w:basedOn w:val="Normal"/>
    <w:next w:val="Normal"/>
    <w:link w:val="CitadestacadaCar"/>
    <w:uiPriority w:val="30"/>
    <w:qFormat/>
    <w:rsid w:val="00551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51F2A"/>
    <w:rPr>
      <w:i/>
      <w:iCs/>
      <w:color w:val="2F5496" w:themeColor="accent1" w:themeShade="BF"/>
    </w:rPr>
  </w:style>
  <w:style w:type="character" w:styleId="Referenciaintensa">
    <w:name w:val="Intense Reference"/>
    <w:basedOn w:val="Fuentedeprrafopredeter"/>
    <w:uiPriority w:val="32"/>
    <w:qFormat/>
    <w:rsid w:val="00551F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982</Words>
  <Characters>5401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XIODANNY VASQUEZ</dc:creator>
  <cp:keywords/>
  <dc:description/>
  <cp:lastModifiedBy>XIODANNY VASQUEZ</cp:lastModifiedBy>
  <cp:revision>1</cp:revision>
  <dcterms:created xsi:type="dcterms:W3CDTF">2025-03-02T22:15:00Z</dcterms:created>
  <dcterms:modified xsi:type="dcterms:W3CDTF">2025-03-02T22:40:00Z</dcterms:modified>
</cp:coreProperties>
</file>