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5840" w:hRule="exact"/>
        </w:trPr>
        <w:tc>
          <w:tcPr>
            <w:tcW w:type="pct" w:w="100%"/>
            <w:shd w:fill="16161A" w:val="clear"/>
            <w:tcMar>
              <w:top w:type="dxa" w:w="1000"/>
              <w:left w:type="dxa" w:w="1300"/>
              <w:bottom w:type="dxa" w:w="1000"/>
              <w:right w:type="dxa" w:w="1300"/>
            </w:tcMar>
            <w:vAlign w:val="center"/>
          </w:tcPr>
          <w:p>
            <w:pPr>
              <w:spacing w:after="900"/>
            </w:pPr>
          </w:p>
          <w:p>
            <w:pPr>
              <w:pBdr>
                <w:top w:val="single" w:color="B08D3C" w:sz="10"/>
                <w:bottom w:val="single" w:color="B08D3C" w:sz="10"/>
                <w:left w:val="single" w:color="B08D3C" w:sz="10"/>
                <w:right w:val="single" w:color="B08D3C" w:sz="10"/>
              </w:pBdr>
              <w:spacing w:after="50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44"/>
                <w:szCs w:val="44"/>
              </w:rPr>
              <w:t xml:space="preserve">  EC  </w:t>
            </w:r>
          </w:p>
          <w:p>
            <w:pPr>
              <w:spacing w:after="120" w:before="400"/>
            </w:pPr>
            <w:r>
              <w:rPr>
                <w:rFonts w:ascii="Calibri" w:cs="Calibri" w:eastAsia="Calibri" w:hAnsi="Calibri"/>
                <w:b/>
                <w:bCs/>
                <w:caps/>
                <w:color w:val="C9A24A"/>
                <w:spacing w:val="20"/>
                <w:sz w:val="22"/>
                <w:szCs w:val="22"/>
              </w:rPr>
              <w:t xml:space="preserve">ESTUDIO CASIL RODRÍGUEZ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Manual de usuario</w:t>
            </w:r>
          </w:p>
          <w:p>
            <w:pPr>
              <w:spacing w:after="700"/>
            </w:pPr>
            <w:r>
              <w:rPr>
                <w:rFonts w:ascii="Georgia" w:cs="Georgia" w:eastAsia="Georgia" w:hAnsi="Georgia"/>
                <w:i/>
                <w:iCs/>
                <w:color w:val="C3CBD9"/>
                <w:sz w:val="28"/>
                <w:szCs w:val="28"/>
              </w:rPr>
              <w:t xml:space="preserve">Sistema de Gestión Contable ECR</w:t>
            </w:r>
          </w:p>
          <w:p>
            <w:pPr>
              <w:pBdr>
                <w:top w:val="single" w:color="3A3A44" w:sz="4" w:space="12"/>
              </w:pBdr>
              <w:spacing w:after="40"/>
            </w:pPr>
            <w:r>
              <w:rPr>
                <w:rFonts w:ascii="Calibri" w:cs="Calibri" w:eastAsia="Calibri" w:hAnsi="Calibri"/>
                <w:color w:val="9AA4B8"/>
                <w:sz w:val="20"/>
                <w:szCs w:val="20"/>
              </w:rPr>
              <w:t xml:space="preserve">50 años de trayectoria · Tres de Febrero, Buenos Aires</w:t>
            </w:r>
          </w:p>
          <w:p>
            <w:pPr>
              <w:spacing w:after="140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Septiembre 2026 · Versión 1.0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B08D3C"/>
          <w:spacing w:val="14"/>
          <w:sz w:val="20"/>
          <w:szCs w:val="20"/>
        </w:rPr>
        <w:t xml:space="preserve">ÍNDICE</w:t>
      </w:r>
    </w:p>
    <w:p>
      <w:pPr>
        <w:spacing w:after="320"/>
      </w:pPr>
      <w:r>
        <w:rPr>
          <w:rFonts w:ascii="Georgia" w:cs="Georgia" w:eastAsia="Georgia" w:hAnsi="Georgia"/>
          <w:b/>
          <w:bCs/>
          <w:color w:val="16161A"/>
          <w:sz w:val="34"/>
          <w:szCs w:val="34"/>
        </w:rPr>
        <w:t xml:space="preserve">Contenido del manual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Acceso al sistema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Panel general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Gestión de clientes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Agenda de vencimientos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Archivo digital (documentos)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Asistente, reportes y configuración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80"/>
      </w:pPr>
      <w:r>
        <w:rPr>
          <w:rFonts w:ascii="Calibri" w:cs="Calibri" w:eastAsia="Calibri" w:hAnsi="Calibri"/>
          <w:b/>
          <w:bCs/>
          <w:color w:val="B08D3C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6161A"/>
          <w:sz w:val="22"/>
          <w:szCs w:val="22"/>
        </w:rPr>
        <w:t xml:space="preserve">Preguntas frecuentes</w:t>
      </w:r>
      <w:r>
        <w:rPr>
          <w:rFonts w:ascii="Calibri" w:cs="Calibri" w:eastAsia="Calibri" w:hAnsi="Calibri"/>
          <w:color w:val="8A8576"/>
          <w:sz w:val="20"/>
          <w:szCs w:val="20"/>
        </w:rPr>
        <w:t xml:space="preserve">	6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1.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Acceso al sistema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El sistema se encuentra disponible en la dirección ecr-sistema.up.railway.app. Al ingresar a esa dirección se muestra la pantalla de inicio de sesión; no es posible acceder al panel de trabajo sin loguearse.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1.1  Iniciar sesión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Completar el campo Email con el usuario asignado.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Completar el campo Contraseña. El icono con forma de ojo, a la derecha del campo, permite mostrar u ocultar el texto ingresado.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el botón Ingresar.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Si el email o la contraseña no coinciden con los datos registrados, el sistema muestra el mensaje “Usuario o contraseña incorrectos” y no permite continuar. Por seguridad, el mensaje no indica cuál de los dos datos es el incorrecto.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1.2  Recuperar contraseña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Desde la pantalla de inicio de sesión, presionar el enlace ¿Olvidaste tu contraseña?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Ingresar el email de la cuenta y presionar Generar contraseña nueva.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El sistema muestra en pantalla una contraseña temporal generada automáticamente.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Utilizar esa contraseña temporal para volver a iniciar sesión.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B08D3C" w:sz="18"/>
              <w:bottom w:val="none"/>
              <w:right w:val="none"/>
            </w:tcBorders>
            <w:shd w:fill="F3ECD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B08D3C"/>
                <w:spacing w:val="10"/>
                <w:sz w:val="18"/>
                <w:szCs w:val="18"/>
              </w:rPr>
              <w:t xml:space="preserve">NOTA 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161"/>
                <w:sz w:val="20"/>
                <w:szCs w:val="20"/>
              </w:rPr>
              <w:t xml:space="preserve">La contraseña temporal se muestra una sola vez en pantalla. Se recomienda anotarla y, una vez dentro del sistema, solicitar a un administrador que la reemplace por una definitiva.</w:t>
            </w:r>
          </w:p>
        </w:tc>
      </w:tr>
    </w:tbl>
    <w:p>
      <w:pPr>
        <w:spacing w:after="160"/>
      </w:pP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1.3  Cerrar sesión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En la esquina superior derecha del panel se muestra el nombre del usuario, su rol (Admin o Usuario) y un círculo con sus iniciales. Al presionar sobre ese círculo se despliega un menú con la opción Cerrar sesión, que finaliza la sesión activa y redirige nuevamente a la pantalla de inicio de sesión.</w:t>
      </w:r>
    </w:p>
    <w:p>
      <w:pPr>
        <w:spacing w:after="2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2.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Panel general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Es la pantalla principal del sistema, a la que se accede automáticamente después de iniciar sesión. Muestra un resumen general del estudio: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color w:val="16161A"/>
          <w:sz w:val="21"/>
          <w:szCs w:val="21"/>
        </w:rPr>
        <w:t xml:space="preserve">Clientes activos — </w:t>
      </w:r>
      <w:r>
        <w:rPr>
          <w:rFonts w:ascii="Calibri" w:cs="Calibri" w:eastAsia="Calibri" w:hAnsi="Calibri"/>
          <w:color w:val="4A5161"/>
          <w:sz w:val="21"/>
          <w:szCs w:val="21"/>
        </w:rPr>
        <w:t xml:space="preserve">cantidad de clientes con estado “Activo” en la cartera.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color w:val="16161A"/>
          <w:sz w:val="21"/>
          <w:szCs w:val="21"/>
        </w:rPr>
        <w:t xml:space="preserve">Vencen en 7 días — </w:t>
      </w:r>
      <w:r>
        <w:rPr>
          <w:rFonts w:ascii="Calibri" w:cs="Calibri" w:eastAsia="Calibri" w:hAnsi="Calibri"/>
          <w:color w:val="4A5161"/>
          <w:sz w:val="21"/>
          <w:szCs w:val="21"/>
        </w:rPr>
        <w:t xml:space="preserve">cantidad de vencimientos próximos a controlar.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color w:val="16161A"/>
          <w:sz w:val="21"/>
          <w:szCs w:val="21"/>
        </w:rPr>
        <w:t xml:space="preserve">Documentos — </w:t>
      </w:r>
      <w:r>
        <w:rPr>
          <w:rFonts w:ascii="Calibri" w:cs="Calibri" w:eastAsia="Calibri" w:hAnsi="Calibri"/>
          <w:color w:val="4A5161"/>
          <w:sz w:val="21"/>
          <w:szCs w:val="21"/>
        </w:rPr>
        <w:t xml:space="preserve">cantidad total de documentos cargados en el archivo digital.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color w:val="16161A"/>
          <w:sz w:val="21"/>
          <w:szCs w:val="21"/>
        </w:rPr>
        <w:t xml:space="preserve">Honorarios / mes — </w:t>
      </w:r>
      <w:r>
        <w:rPr>
          <w:rFonts w:ascii="Calibri" w:cs="Calibri" w:eastAsia="Calibri" w:hAnsi="Calibri"/>
          <w:color w:val="4A5161"/>
          <w:sz w:val="21"/>
          <w:szCs w:val="21"/>
        </w:rPr>
        <w:t xml:space="preserve">facturación estimada mensual, sumando los honorarios de los clientes activos.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Debajo de las tarjetas se muestran dos listados: Próximos vencimientos (los más urgentes, ordenados por fecha) y Cartera reciente (los últimos clientes cargados).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3.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Gestión de clientes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Desde el menú lateral, la sección Clientes muestra la cartera completa del estudio en formato de tabla, con razón social, CUIT, servicio contratado, honorarios y estado.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3.1  Agregar un cliente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el botón + Cliente (o + Nuevo, desde cualquier pantalla).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Completar razón social, CUIT, honorarios mensuales, servicio principal y estado.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Guardar cliente.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3.2  Editar o eliminar un cliente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En la última columna de la tabla, el ícono de lápiz permite editar los datos del cliente, y el ícono de la cruz permite eliminarlo (el sistema solicita una confirmación antes de borrarlo).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3.3  Buscar un cliente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El campo Buscar, ubicado en la parte superior del panel, filtra en tiempo real tanto la tabla de clientes como la de vencimientos a medida que se escribe.</w:t>
      </w:r>
    </w:p>
    <w:p>
      <w:pPr>
        <w:spacing w:after="2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4.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Agenda de vencimientos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La sección Agenda centraliza los vencimientos impositivos, laborales, previsionales y societarios del estudio. Puede visualizarse de dos formas, mediante los botones Calendario y Lista.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4.1  Vista calendario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Muestra el mes actual con los vencimientos ubicados en su fecha correspondiente. Se puede navegar entre meses con las flechas, o volver al mes actual con el botón Hoy. Al hacer doble clic sobre un día vacío se crea un vencimiento nuevo con esa fecha precargada; al hacer clic sobre un vencimiento existente, se abre para editarlo.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4.2  Vista lista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Muestra todos los vencimientos ordenados por fecha, con su estado (Vencido, Cumplido, o el número de días restantes).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4.3  Cargar un vencimiento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+ Vencimiento.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Completar la descripción, el cliente asociado (o dejarlo en blanco para un vencimiento general del estudio), el tipo, la fecha y el estado.</w:t>
      </w:r>
    </w:p>
    <w:p>
      <w:pPr>
        <w:pStyle w:val="ListParagraph"/>
        <w:numPr>
          <w:ilvl w:val="0"/>
          <w:numId w:val="5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Guardar.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5.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Archivo digital (documentos)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La sección Documentos funciona como archivo digital del estudio, donde se registran balances, recibos de sueldo, declaraciones juradas, facturas y comprobantes.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5.1  Cargar un documento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+ Documento.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Completar el nombre del documento, el tipo y el cliente asociado.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Adjuntar el archivo correspondiente desde la computadora.</w:t>
      </w:r>
    </w:p>
    <w:p>
      <w:pPr>
        <w:pStyle w:val="ListParagraph"/>
        <w:numPr>
          <w:ilvl w:val="0"/>
          <w:numId w:val="6"/>
        </w:numPr>
        <w:spacing w:after="90" w:line="28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Presionar Cargar documento.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Cada documento cargado se muestra como una tarjeta con su nombre, tipo, cliente y fecha. Al presionar sobre una tarjeta se puede eliminar el documento.</w:t>
      </w:r>
    </w:p>
    <w:p>
      <w:pPr>
        <w:spacing w:after="2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6.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Asistente, reportes y configuración</w:t>
            </w:r>
          </w:p>
        </w:tc>
      </w:tr>
    </w:tbl>
    <w:p>
      <w:pPr>
        <w:spacing w:after="200"/>
      </w:pP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6.1  Asistente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Es un chat de consultas generales que puede responder preguntas del estudio (vencimientos cargados, datos de clientes) y buscar información actualizada en la web, incluyendo normativa de ARCA y cotización del dólar. Requiere que un administrador conecte una clave de Google Gemini desde Configuración.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6.2  Reportes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Muestra métricas del estudio: facturación anual estimada, ticket promedio por cliente, porcentaje de cumplimiento de vencimientos, y la distribución de honorarios por tipo de servicio.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6.3  Configuración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Permite editar los datos generales del estudio (nombre, titular, localidad, días de anticipación de alertas) y conectar la clave del Asistente de inteligencia artificial.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B08D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pct" w:w="9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B08D3C"/>
                <w:sz w:val="30"/>
                <w:szCs w:val="30"/>
              </w:rPr>
              <w:t xml:space="preserve">7.  </w:t>
            </w:r>
            <w:r>
              <w:rPr>
                <w:rFonts w:ascii="Georgia" w:cs="Georgia" w:eastAsia="Georgia" w:hAnsi="Georgia"/>
                <w:b/>
                <w:bCs/>
                <w:color w:val="16161A"/>
                <w:sz w:val="30"/>
                <w:szCs w:val="30"/>
              </w:rPr>
              <w:t xml:space="preserve">Preguntas frecuentes</w:t>
            </w:r>
          </w:p>
        </w:tc>
      </w:tr>
    </w:tbl>
    <w:p>
      <w:pPr>
        <w:spacing w:after="200"/>
      </w:pP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¿Qué hago si me olvidé la contraseña?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Usar la opción ¿Olvidaste tu contraseña? desde la pantalla de inicio de sesión (ver sección 1.2).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¿Por qué no puedo entrar directo al panel sin loguearme?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El sistema exige inicio de sesión en todas sus pantallas por motivos de seguridad, para proteger la información de los clientes del estudio.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¿Los datos se guardan automáticamente?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Sí. Cada acción de guardar, editar o eliminar se aplica de inmediato sobre la base de datos del sistema; no es necesario un paso adicional de confirmación general.</w:t>
      </w:r>
    </w:p>
    <w:p>
      <w:pPr>
        <w:pBdr>
          <w:bottom w:val="single" w:color="E2DDD2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aps/>
          <w:color w:val="B08D3C"/>
          <w:spacing w:val="10"/>
          <w:sz w:val="24"/>
          <w:szCs w:val="24"/>
        </w:rPr>
        <w:t xml:space="preserve">¿Con quién consultar ante un problema técnico?</w:t>
      </w:r>
    </w:p>
    <w:p>
      <w:pPr>
        <w:spacing w:after="160" w:line="300"/>
      </w:pPr>
      <w:r>
        <w:rPr>
          <w:rFonts w:ascii="Calibri" w:cs="Calibri" w:eastAsia="Calibri" w:hAnsi="Calibri"/>
          <w:color w:val="4A5161"/>
          <w:sz w:val="21"/>
          <w:szCs w:val="21"/>
        </w:rPr>
        <w:t xml:space="preserve">Contactar al equipo de desarrollo del sistema (Proyecto2026-estudio) o al administrador designado del estudio.</w:t>
      </w:r>
    </w:p>
    <w:sectPr>
      <w:headerReference w:type="default" r:id="rId7"/>
      <w:footerReference w:type="default" r:id="rId8"/>
      <w:pgSz w:w="12240" w:h="15840" w:orient="portrait"/>
      <w:pgMar w:top="1350" w:right="1300" w:bottom="12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DD2" w:sz="3" w:space="6"/>
      </w:pBdr>
      <w:jc w:val="center"/>
    </w:pPr>
    <w:r>
      <w:rPr>
        <w:rFonts w:ascii="Calibri" w:cs="Calibri" w:eastAsia="Calibri" w:hAnsi="Calibri"/>
        <w:color w:val="8A8576"/>
        <w:sz w:val="16"/>
        <w:szCs w:val="16"/>
      </w:rPr>
      <w:t xml:space="preserve">Página </w:t>
    </w:r>
    <w:r>
      <w:rPr>
        <w:rFonts w:ascii="Calibri" w:cs="Calibri" w:eastAsia="Calibri" w:hAnsi="Calibri"/>
        <w:b/>
        <w:bCs/>
        <w:color w:val="B08D3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576"/>
        <w:sz w:val="16"/>
        <w:szCs w:val="16"/>
      </w:rPr>
      <w:t xml:space="preserve"> de </w:t>
    </w:r>
    <w:r>
      <w:rPr>
        <w:rFonts w:ascii="Calibri" w:cs="Calibri" w:eastAsia="Calibri" w:hAnsi="Calibri"/>
        <w:color w:val="8A85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B08D3C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50%"/>
          <w:tcBorders>
            <w:top w:val="none"/>
            <w:left w:val="none"/>
            <w:bottom w:val="none"/>
            <w:right w:val="none"/>
          </w:tcBorders>
          <w:tcMar>
            <w:bottom w:type="dxa" w:w="100"/>
          </w:tcMar>
        </w:tcPr>
        <w:p>
          <w:r>
            <w:rPr>
              <w:rFonts w:ascii="Calibri" w:cs="Calibri" w:eastAsia="Calibri" w:hAnsi="Calibri"/>
              <w:b/>
              <w:bCs/>
              <w:color w:val="B08D3C"/>
              <w:spacing w:val="8"/>
              <w:sz w:val="15"/>
              <w:szCs w:val="15"/>
            </w:rPr>
            <w:t xml:space="preserve">ECR · ESTUDIO CASIL RODRÍGUEZ</w:t>
          </w:r>
        </w:p>
      </w:tc>
      <w:tc>
        <w:tcPr>
          <w:tcW w:type="pct" w:w="50%"/>
          <w:tcBorders>
            <w:top w:val="none"/>
            <w:left w:val="none"/>
            <w:bottom w:val="none"/>
            <w:right w:val="none"/>
          </w:tcBorders>
          <w:tcMar>
            <w:bottom w:type="dxa" w:w="10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A8576"/>
              <w:spacing w:val="6"/>
              <w:sz w:val="15"/>
              <w:szCs w:val="15"/>
            </w:rPr>
            <w:t xml:space="preserve">MANUAL DE USUARIO — SISTEMA ECR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08D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08D3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08D3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08D3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08D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16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2026-09-21T17:40:51.199Z</dcterms:created>
  <dcterms:modified xsi:type="dcterms:W3CDTF">2026-09-21T17:40:51.199Z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