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highlight w:val="white"/>
          <w:rtl w:val="0"/>
        </w:rPr>
        <w:t xml:space="preserve">E-sport Investigation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highlight w:val="white"/>
          <w:rtl w:val="0"/>
        </w:rPr>
        <w:t xml:space="preserve">02/03/2019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libri" w:cs="Calibri" w:eastAsia="Calibri" w:hAnsi="Calibri"/>
          <w:sz w:val="44"/>
          <w:szCs w:val="4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highlight w:val="white"/>
          <w:rtl w:val="0"/>
        </w:rPr>
        <w:t xml:space="preserve">RE:CELInt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Versions</w:t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1785"/>
        <w:gridCol w:w="1785"/>
        <w:gridCol w:w="1785"/>
        <w:gridCol w:w="1785"/>
        <w:tblGridChange w:id="0">
          <w:tblGrid>
            <w:gridCol w:w="1785"/>
            <w:gridCol w:w="1785"/>
            <w:gridCol w:w="1785"/>
            <w:gridCol w:w="1785"/>
            <w:gridCol w:w="178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Changes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Reviewer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25/02/2019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Diego Cantu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Hector Hernandez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46">
      <w:pPr>
        <w:spacing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This document contains the class diagram and a brief description of each function  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943600" cy="4394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</w:rPr>
        <w:drawing>
          <wp:inline distB="114300" distT="114300" distL="114300" distR="114300">
            <wp:extent cx="3109913" cy="17350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73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109913" cy="179418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79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403703" cy="28813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703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533023" cy="49577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023" cy="495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y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