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DCC6" w14:textId="77777777" w:rsidR="00C3550A" w:rsidRDefault="00C3550A">
      <w:pPr>
        <w:pStyle w:val="Ttulo1"/>
        <w:rPr>
          <w:rFonts w:ascii="Segoe UI" w:eastAsia="Times New Roman" w:hAnsi="Segoe UI" w:cs="Segoe UI"/>
          <w:lang w:val="es-ES"/>
        </w:rPr>
      </w:pPr>
      <w:r>
        <w:rPr>
          <w:rFonts w:ascii="Segoe UI" w:eastAsia="Times New Roman" w:hAnsi="Segoe UI" w:cs="Segoe UI"/>
          <w:lang w:val="es-ES"/>
        </w:rPr>
        <w:t>Fundamento legal y confiabilidad de la firma electrónica</w:t>
      </w:r>
    </w:p>
    <w:p w14:paraId="5C607789" w14:textId="77777777" w:rsidR="00C3550A" w:rsidRDefault="00C3550A">
      <w:pPr>
        <w:pStyle w:val="Ttulo3"/>
        <w:rPr>
          <w:rFonts w:ascii="Segoe UI" w:eastAsia="Times New Roman" w:hAnsi="Segoe UI" w:cs="Segoe UI"/>
          <w:lang w:val="es-ES"/>
        </w:rPr>
      </w:pPr>
      <w:r>
        <w:rPr>
          <w:rFonts w:ascii="Segoe UI" w:eastAsia="Times New Roman" w:hAnsi="Segoe UI" w:cs="Segoe UI"/>
          <w:lang w:val="es-ES"/>
        </w:rPr>
        <w:t>Análisis aplicado a dos casos del Instituto Asunción de Querétaro, A.C.: el reglamento de acceso vehicular (SATAG) y los documentos del handbook</w:t>
      </w:r>
    </w:p>
    <w:p w14:paraId="7BD6BA47"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Instituto Asunción de Querétaro, A.C. · Área de Sistemas Querétaro, 11 de septiembre de 2026</w:t>
      </w:r>
    </w:p>
    <w:p w14:paraId="77B52B21" w14:textId="77777777" w:rsidR="00C3550A" w:rsidRDefault="00C3550A">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66E9F114">
          <v:rect id="_x0000_i1025" style="width:0;height:1.5pt" o:hralign="center" o:hrstd="t" o:hr="t" fillcolor="#a0a0a0" stroked="f"/>
        </w:pict>
      </w:r>
    </w:p>
    <w:p w14:paraId="7C447C35" w14:textId="77777777" w:rsidR="00C3550A" w:rsidRDefault="00C3550A">
      <w:pPr>
        <w:pStyle w:val="Ttulo2"/>
        <w:rPr>
          <w:rFonts w:ascii="Segoe UI" w:eastAsia="Times New Roman" w:hAnsi="Segoe UI" w:cs="Segoe UI"/>
          <w:lang w:val="es-ES"/>
        </w:rPr>
      </w:pPr>
      <w:r>
        <w:rPr>
          <w:rFonts w:ascii="Segoe UI" w:eastAsia="Times New Roman" w:hAnsi="Segoe UI" w:cs="Segoe UI"/>
          <w:lang w:val="es-ES"/>
        </w:rPr>
        <w:t>1. Propósito</w:t>
      </w:r>
    </w:p>
    <w:p w14:paraId="6A5DFAC2"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Este documento reúne el fundamento jurídico de la firma electrónica en México y lo contrasta con el mecanismo que el Instituto ya opera, para responder una pregunta concreta: si la firma que se recaba en pantalla sirve como prueba y bajo qué condiciones.</w:t>
      </w:r>
    </w:p>
    <w:p w14:paraId="3269C7E8"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Se examinan dos casos distintos. El primero es el reglamento de acceso vehicular, que hoy se acepta en el sistema SATAG y cuyo trámite se completa en persona. El segundo son los documentos del handbook que las familias firman al inscribir, que se firmarían a distancia y por ambos tutores. Las condiciones jurídicas de uno y otro no son las mismas, y el documento explica por qué.</w:t>
      </w:r>
    </w:p>
    <w:p w14:paraId="1F26EA8C"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Todas las afirmaciones normativas llevan cita en el texto y su referencia completa al final, con la dirección oficial donde puede consultarse el texto vigente. Los textos se cotejaron contra las fuentes oficiales los días 9 y 10 de septiembre de 2026.</w:t>
      </w:r>
    </w:p>
    <w:p w14:paraId="3300B97A"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Este documento no constituye una opinión jurídica. Reúne el material normativo y la descripción técnica verificable para que el área legal formule la suya.</w:t>
      </w:r>
    </w:p>
    <w:p w14:paraId="3DD85523" w14:textId="77777777" w:rsidR="00C3550A" w:rsidRDefault="00C3550A">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37D27DDC">
          <v:rect id="_x0000_i1026" style="width:0;height:1.5pt" o:hralign="center" o:hrstd="t" o:hr="t" fillcolor="#a0a0a0" stroked="f"/>
        </w:pict>
      </w:r>
    </w:p>
    <w:p w14:paraId="2F46F50F" w14:textId="77777777" w:rsidR="00C3550A" w:rsidRDefault="00C3550A">
      <w:pPr>
        <w:pStyle w:val="Ttulo2"/>
        <w:rPr>
          <w:rFonts w:ascii="Segoe UI" w:eastAsia="Times New Roman" w:hAnsi="Segoe UI" w:cs="Segoe UI"/>
          <w:lang w:val="es-ES"/>
        </w:rPr>
      </w:pPr>
      <w:r>
        <w:rPr>
          <w:rFonts w:ascii="Segoe UI" w:eastAsia="Times New Roman" w:hAnsi="Segoe UI" w:cs="Segoe UI"/>
          <w:lang w:val="es-ES"/>
        </w:rPr>
        <w:t>2. Marco jurídico aplicable</w:t>
      </w:r>
    </w:p>
    <w:p w14:paraId="50341604" w14:textId="77777777" w:rsidR="00C3550A" w:rsidRDefault="00C3550A">
      <w:pPr>
        <w:pStyle w:val="Ttulo3"/>
        <w:rPr>
          <w:rFonts w:ascii="Segoe UI" w:eastAsia="Times New Roman" w:hAnsi="Segoe UI" w:cs="Segoe UI"/>
          <w:lang w:val="es-ES"/>
        </w:rPr>
      </w:pPr>
      <w:r>
        <w:rPr>
          <w:rFonts w:ascii="Segoe UI" w:eastAsia="Times New Roman" w:hAnsi="Segoe UI" w:cs="Segoe UI"/>
          <w:lang w:val="es-ES"/>
        </w:rPr>
        <w:t>2.1 La naturaleza del acto determina qué ley rige</w:t>
      </w:r>
    </w:p>
    <w:p w14:paraId="793D81EC"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El Instituto es una asociación civil y la aceptación de un reglamento interno de acceso vehicular no persigue especulación comercial, de modo que no encuadra en los actos de comercio que enumera el artículo 75 del Código de Comercio (Cámara de Diputados, 2025a, art. 75, fr. I). El acto es de naturaleza civil.</w:t>
      </w:r>
    </w:p>
    <w:p w14:paraId="47AE3F35"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La distinción importa porque los ordenamientos civil y mercantil tratan la firma electrónica con reglas propias. Sin embargo, ambos convergen en el mismo criterio de fondo, que es la fiabilidad del método, como se explica en el apartado 2.3. Por esa razón el Código de Comercio se cita en este documento como estándar de referencia, aunque el acto sea civil.</w:t>
      </w:r>
    </w:p>
    <w:p w14:paraId="02BBB37E" w14:textId="77777777" w:rsidR="00C3550A" w:rsidRDefault="00C3550A">
      <w:pPr>
        <w:pStyle w:val="Ttulo3"/>
        <w:rPr>
          <w:rFonts w:ascii="Segoe UI" w:eastAsia="Times New Roman" w:hAnsi="Segoe UI" w:cs="Segoe UI"/>
          <w:lang w:val="es-ES"/>
        </w:rPr>
      </w:pPr>
      <w:r>
        <w:rPr>
          <w:rFonts w:ascii="Segoe UI" w:eastAsia="Times New Roman" w:hAnsi="Segoe UI" w:cs="Segoe UI"/>
          <w:lang w:val="es-ES"/>
        </w:rPr>
        <w:t>2.2 La firma electrónica simple es válida entre particulares</w:t>
      </w:r>
    </w:p>
    <w:p w14:paraId="75E19713"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Cuatro disposiciones sostienen la validez.</w:t>
      </w:r>
    </w:p>
    <w:p w14:paraId="6A6DBDD8"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El </w:t>
      </w:r>
      <w:r>
        <w:rPr>
          <w:rStyle w:val="Fuerte"/>
          <w:rFonts w:ascii="Segoe UI" w:hAnsi="Segoe UI" w:cs="Segoe UI"/>
          <w:sz w:val="20"/>
          <w:szCs w:val="20"/>
          <w:lang w:val="es-ES"/>
        </w:rPr>
        <w:t>Código Civil Federal</w:t>
      </w:r>
      <w:r>
        <w:rPr>
          <w:rFonts w:ascii="Segoe UI" w:hAnsi="Segoe UI" w:cs="Segoe UI"/>
          <w:color w:val="1C2333"/>
          <w:sz w:val="20"/>
          <w:szCs w:val="20"/>
          <w:lang w:val="es-ES"/>
        </w:rPr>
        <w:t xml:space="preserve"> </w:t>
      </w:r>
      <w:r>
        <w:rPr>
          <w:rFonts w:ascii="Segoe UI" w:hAnsi="Segoe UI" w:cs="Segoe UI"/>
          <w:color w:val="1C2333"/>
          <w:sz w:val="20"/>
          <w:szCs w:val="20"/>
          <w:lang w:val="es-ES"/>
        </w:rPr>
        <w:t xml:space="preserve">reconoce que el consentimiento es expreso cuando la voluntad se manifiesta por medios electrónicos, ópticos o por cualquier otra tecnología (Cámara de Diputados, 2025b, art. 1803, fr. I). Y establece que los supuestos de forma escrita se tienen por cumplidos por esos mismos medios, siempre que la información sea íntegra, atribuible a las personas obligadas y </w:t>
      </w:r>
      <w:r>
        <w:rPr>
          <w:rFonts w:ascii="Segoe UI" w:hAnsi="Segoe UI" w:cs="Segoe UI"/>
          <w:color w:val="1C2333"/>
          <w:sz w:val="20"/>
          <w:szCs w:val="20"/>
          <w:lang w:val="es-ES"/>
        </w:rPr>
        <w:lastRenderedPageBreak/>
        <w:t xml:space="preserve">accesible para su ulterior consulta (Cámara de Diputados, 2025b, art. 1834 bis). Esos tres requisitos son la columna vertebral de todo lo que sigue: </w:t>
      </w:r>
      <w:r>
        <w:rPr>
          <w:rStyle w:val="Fuerte"/>
          <w:rFonts w:ascii="Segoe UI" w:hAnsi="Segoe UI" w:cs="Segoe UI"/>
          <w:sz w:val="20"/>
          <w:szCs w:val="20"/>
          <w:lang w:val="es-ES"/>
        </w:rPr>
        <w:t>integridad, atribución y accesibilidad</w:t>
      </w:r>
      <w:r>
        <w:rPr>
          <w:rFonts w:ascii="Segoe UI" w:hAnsi="Segoe UI" w:cs="Segoe UI"/>
          <w:color w:val="1C2333"/>
          <w:sz w:val="20"/>
          <w:szCs w:val="20"/>
          <w:lang w:val="es-ES"/>
        </w:rPr>
        <w:t>.</w:t>
      </w:r>
    </w:p>
    <w:p w14:paraId="0F1907AD"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El </w:t>
      </w:r>
      <w:r>
        <w:rPr>
          <w:rStyle w:val="Fuerte"/>
          <w:rFonts w:ascii="Segoe UI" w:hAnsi="Segoe UI" w:cs="Segoe UI"/>
          <w:sz w:val="20"/>
          <w:szCs w:val="20"/>
          <w:lang w:val="es-ES"/>
        </w:rPr>
        <w:t>Código Nacional de Procedimientos Civiles y Familiares</w:t>
      </w:r>
      <w:r>
        <w:rPr>
          <w:rFonts w:ascii="Segoe UI" w:hAnsi="Segoe UI" w:cs="Segoe UI"/>
          <w:color w:val="1C2333"/>
          <w:sz w:val="20"/>
          <w:szCs w:val="20"/>
          <w:lang w:val="es-ES"/>
        </w:rPr>
        <w:t xml:space="preserve"> </w:t>
      </w:r>
      <w:r>
        <w:rPr>
          <w:rFonts w:ascii="Segoe UI" w:hAnsi="Segoe UI" w:cs="Segoe UI"/>
          <w:color w:val="1C2333"/>
          <w:sz w:val="20"/>
          <w:szCs w:val="20"/>
          <w:lang w:val="es-ES"/>
        </w:rPr>
        <w:t>define la firma electrónica simple como los datos consignados en un mensaje que se usan para identificar al firmante e indicar que aprueba la información, y añade que produce los mismos efectos jurídicos que la firma autógrafa y es admisible como prueba en juicio (Cámara de Diputados, 2026, art. 2, fr. XXI). El mismo ordenamiento dispone que las pruebas documentales físicas y electrónicas reciben el mismo trato, bajo los principios de equivalencia funcional y neutralidad tecnológica (Cámara de Diputados, 20</w:t>
      </w:r>
      <w:r>
        <w:rPr>
          <w:rFonts w:ascii="Segoe UI" w:hAnsi="Segoe UI" w:cs="Segoe UI"/>
          <w:color w:val="1C2333"/>
          <w:sz w:val="20"/>
          <w:szCs w:val="20"/>
          <w:lang w:val="es-ES"/>
        </w:rPr>
        <w:t>26, art. 308).</w:t>
      </w:r>
    </w:p>
    <w:p w14:paraId="4E482328"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El </w:t>
      </w:r>
      <w:r>
        <w:rPr>
          <w:rStyle w:val="Fuerte"/>
          <w:rFonts w:ascii="Segoe UI" w:hAnsi="Segoe UI" w:cs="Segoe UI"/>
          <w:sz w:val="20"/>
          <w:szCs w:val="20"/>
          <w:lang w:val="es-ES"/>
        </w:rPr>
        <w:t>Código de Comercio</w:t>
      </w:r>
      <w:r>
        <w:rPr>
          <w:rFonts w:ascii="Segoe UI" w:hAnsi="Segoe UI" w:cs="Segoe UI"/>
          <w:color w:val="1C2333"/>
          <w:sz w:val="20"/>
          <w:szCs w:val="20"/>
          <w:lang w:val="es-ES"/>
        </w:rPr>
        <w:t xml:space="preserve"> prohíbe negar efectos jurídicos, validez o fuerza obligatoria a la información por el solo hecho de estar contenida en un mensaje de datos (Cámara de Diputados, 2025a, art. 89 bis), y precisa que cuando la ley exige forma escrita el requisito se cumple con un mensaje de datos íntegro y accesible, y que cuando además exige firma, se cumple si el mensaje es atribuible a las partes (Cámara de Diputados, 2025a, art. 93).</w:t>
      </w:r>
    </w:p>
    <w:p w14:paraId="40798EEC"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En materia de datos personales, la </w:t>
      </w:r>
      <w:r>
        <w:rPr>
          <w:rStyle w:val="Fuerte"/>
          <w:rFonts w:ascii="Segoe UI" w:hAnsi="Segoe UI" w:cs="Segoe UI"/>
          <w:sz w:val="20"/>
          <w:szCs w:val="20"/>
          <w:lang w:val="es-ES"/>
        </w:rPr>
        <w:t>Ley Federal de Protección de Datos Personales en Posesión de los Particulares</w:t>
      </w:r>
      <w:r>
        <w:rPr>
          <w:rFonts w:ascii="Segoe UI" w:hAnsi="Segoe UI" w:cs="Segoe UI"/>
          <w:color w:val="1C2333"/>
          <w:sz w:val="20"/>
          <w:szCs w:val="20"/>
          <w:lang w:val="es-ES"/>
        </w:rPr>
        <w:t xml:space="preserve"> vigente es explícita al regular el consentimiento que debe constar por escrito: se obtiene «a través de su firma autógrafa, firma electrónica, o cualquier mecanismo de autenticación que al efecto se establezca» (Cámara de Diputados, 2025e, art. 8). La ley nombra la firma electrónica en su propio texto, sin necesidad de acudir a norma reglamentaria.</w:t>
      </w:r>
    </w:p>
    <w:p w14:paraId="126CC1F6" w14:textId="77777777" w:rsidR="00C3550A" w:rsidRDefault="00C3550A">
      <w:pPr>
        <w:pStyle w:val="NormalWeb"/>
        <w:rPr>
          <w:rFonts w:ascii="Segoe UI" w:hAnsi="Segoe UI" w:cs="Segoe UI"/>
          <w:color w:val="1C2333"/>
          <w:sz w:val="20"/>
          <w:szCs w:val="20"/>
          <w:lang w:val="es-ES"/>
        </w:rPr>
      </w:pPr>
      <w:r>
        <w:rPr>
          <w:rStyle w:val="nfasis"/>
          <w:rFonts w:ascii="Segoe UI" w:hAnsi="Segoe UI" w:cs="Segoe UI"/>
          <w:color w:val="1C2333"/>
          <w:sz w:val="20"/>
          <w:szCs w:val="20"/>
          <w:lang w:val="es-ES"/>
        </w:rPr>
        <w:t>Nota sobre el reglamento.</w:t>
      </w:r>
      <w:r>
        <w:rPr>
          <w:rFonts w:ascii="Segoe UI" w:hAnsi="Segoe UI" w:cs="Segoe UI"/>
          <w:color w:val="1C2333"/>
          <w:sz w:val="20"/>
          <w:szCs w:val="20"/>
          <w:lang w:val="es-ES"/>
        </w:rPr>
        <w:t xml:space="preserve"> </w:t>
      </w:r>
      <w:r>
        <w:rPr>
          <w:rFonts w:ascii="Segoe UI" w:hAnsi="Segoe UI" w:cs="Segoe UI"/>
          <w:color w:val="1C2333"/>
          <w:sz w:val="20"/>
          <w:szCs w:val="20"/>
          <w:lang w:val="es-ES"/>
        </w:rPr>
        <w:t>El Reglamento de 2011 desarrolla la ley de 2010, que quedó abrogada el 20 de marzo de 2025 sin que ningún transitorio preserve expresamente la vigencia del reglamento. La Cámara de Diputados lo sigue publicando como texto vigente y su artículo 19 dice lo mismo en términos más detallados, de modo que puede citarse como apoyo. Este documento no se apoya en él: la regla que importa está en el artículo 8 de la ley vigente.</w:t>
      </w:r>
    </w:p>
    <w:p w14:paraId="7159C61E" w14:textId="77777777" w:rsidR="00C3550A" w:rsidRDefault="00C3550A">
      <w:pPr>
        <w:pStyle w:val="Ttulo3"/>
        <w:rPr>
          <w:rFonts w:ascii="Segoe UI" w:eastAsia="Times New Roman" w:hAnsi="Segoe UI" w:cs="Segoe UI"/>
          <w:lang w:val="es-ES"/>
        </w:rPr>
      </w:pPr>
      <w:r>
        <w:rPr>
          <w:rFonts w:ascii="Segoe UI" w:eastAsia="Times New Roman" w:hAnsi="Segoe UI" w:cs="Segoe UI"/>
          <w:lang w:val="es-ES"/>
        </w:rPr>
        <w:t>2.3 El criterio de valoración es la fiabilidad del método</w:t>
      </w:r>
    </w:p>
    <w:p w14:paraId="1C125F3E"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Ninguna de esas normas concede validez automática. Todas remiten al mismo estándar.</w:t>
      </w:r>
    </w:p>
    <w:p w14:paraId="07DC8832"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El Código Nacional dispone que para valorar la fuerza probatoria de la información electrónica «se estimará primordialmente la fiabilidad del método» con que fue generada, comunicada, recibida o archivada y, en su caso, si es posible atribuir su contenido a las personas obligadas y si es accesible para su ulterior consulta (Cámara de Diputados, 2026, art. 349). Añade que cuando la ley requiera conservar un documento en su forma original, el requisito se satisface si se acredita que la información se mantuvo</w:t>
      </w:r>
      <w:r>
        <w:rPr>
          <w:rFonts w:ascii="Segoe UI" w:hAnsi="Segoe UI" w:cs="Segoe UI"/>
          <w:color w:val="1C2333"/>
          <w:sz w:val="20"/>
          <w:szCs w:val="20"/>
          <w:lang w:val="es-ES"/>
        </w:rPr>
        <w:t xml:space="preserve"> íntegra e inalterada desde que se generó por primera vez en forma definitiva (Cámara de Diputados, 2026, art. 350).</w:t>
      </w:r>
    </w:p>
    <w:p w14:paraId="3261A242"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El Código Federal de Procedimientos Civiles contiene la misma regla en su artículo 210-A (Cámara de Diputados, 2023, art. 210-A). Ese ordenamiento fue abrogado por decreto, pero sigue aplicándose donde el Código Nacional aún no entra en vigor, con un plazo máximo que vence el 1 de abril de 2027 (Cámara de Diputados, 2023, transitorios). El diseño probatorio descrito en este documento funciona bajo ambos regímenes, porque los dos valoran lo mismo.</w:t>
      </w:r>
    </w:p>
    <w:p w14:paraId="669A8B60"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El Código de Comercio recoge idéntico criterio para los mensajes de datos (Cámara de Diputados, 2025a, art. 1298-A) y detalla cuándo una firma se considera avanzada o fiable: cuando los datos de creación corresponden exclusivamente al firmante, estaban bajo su control exclusivo al momento de firmar, y es posible detectar cualquier alteración posterior (Cámara de Diputados, 2025a, art. 97).</w:t>
      </w:r>
    </w:p>
    <w:p w14:paraId="51E1D411" w14:textId="77777777" w:rsidR="00C3550A" w:rsidRDefault="00C3550A">
      <w:pPr>
        <w:pStyle w:val="Ttulo3"/>
        <w:rPr>
          <w:rFonts w:ascii="Segoe UI" w:eastAsia="Times New Roman" w:hAnsi="Segoe UI" w:cs="Segoe UI"/>
          <w:lang w:val="es-ES"/>
        </w:rPr>
      </w:pPr>
      <w:r>
        <w:rPr>
          <w:rFonts w:ascii="Segoe UI" w:eastAsia="Times New Roman" w:hAnsi="Segoe UI" w:cs="Segoe UI"/>
          <w:lang w:val="es-ES"/>
        </w:rPr>
        <w:lastRenderedPageBreak/>
        <w:t>2.4 La Suprema Corte fijó quién debe probar la fiabilidad</w:t>
      </w:r>
    </w:p>
    <w:p w14:paraId="5F91631F"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La Primera Sala resolvió que una operación autenticada con un número de identificación personal se considera realizada mediante firma electrónica del cuentahabiente. Y estableció una regla de carga probatoria que es la más relevante para el Instituto: cuando el usuario niega haber realizado la operación, </w:t>
      </w:r>
      <w:r>
        <w:rPr>
          <w:rStyle w:val="Fuerte"/>
          <w:rFonts w:ascii="Segoe UI" w:hAnsi="Segoe UI" w:cs="Segoe UI"/>
          <w:sz w:val="20"/>
          <w:szCs w:val="20"/>
          <w:lang w:val="es-ES"/>
        </w:rPr>
        <w:t>corresponde a quien opera el sistema demostrar los procedimientos de identificación empleados y que cumplen los requisitos de fiabilidad</w:t>
      </w:r>
      <w:r>
        <w:rPr>
          <w:rFonts w:ascii="Segoe UI" w:hAnsi="Segoe UI" w:cs="Segoe UI"/>
          <w:color w:val="1C2333"/>
          <w:sz w:val="20"/>
          <w:szCs w:val="20"/>
          <w:lang w:val="es-ES"/>
        </w:rPr>
        <w:t>; solo acreditado eso, la carga se revierte al usuario (Suprema Corte de Justicia de la Nación, 2019).</w:t>
      </w:r>
    </w:p>
    <w:p w14:paraId="67947905"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El criterio no exige certificados ni proveedores externos. Exige que la organización pueda reconstruir y explicar su método. Ese es exactamente el propósito del apartado 3 de este documento.</w:t>
      </w:r>
    </w:p>
    <w:p w14:paraId="45F3B013" w14:textId="77777777" w:rsidR="00C3550A" w:rsidRDefault="00C3550A">
      <w:pPr>
        <w:pStyle w:val="Ttulo3"/>
        <w:rPr>
          <w:rFonts w:ascii="Segoe UI" w:eastAsia="Times New Roman" w:hAnsi="Segoe UI" w:cs="Segoe UI"/>
          <w:lang w:val="es-ES"/>
        </w:rPr>
      </w:pPr>
      <w:r>
        <w:rPr>
          <w:rFonts w:ascii="Segoe UI" w:eastAsia="Times New Roman" w:hAnsi="Segoe UI" w:cs="Segoe UI"/>
          <w:lang w:val="es-ES"/>
        </w:rPr>
        <w:t>2.5 Lo que no resulta aplicable</w:t>
      </w:r>
    </w:p>
    <w:p w14:paraId="30B69B06"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Conviene descartar expresamente dos exigencias que suelen suponerse.</w:t>
      </w:r>
    </w:p>
    <w:p w14:paraId="68661204"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La </w:t>
      </w:r>
      <w:r>
        <w:rPr>
          <w:rStyle w:val="Fuerte"/>
          <w:rFonts w:ascii="Segoe UI" w:hAnsi="Segoe UI" w:cs="Segoe UI"/>
          <w:sz w:val="20"/>
          <w:szCs w:val="20"/>
          <w:lang w:val="es-ES"/>
        </w:rPr>
        <w:t>Ley de Firma Electrónica Avanzada</w:t>
      </w:r>
      <w:r>
        <w:rPr>
          <w:rFonts w:ascii="Segoe UI" w:hAnsi="Segoe UI" w:cs="Segoe UI"/>
          <w:color w:val="1C2333"/>
          <w:sz w:val="20"/>
          <w:szCs w:val="20"/>
          <w:lang w:val="es-ES"/>
        </w:rPr>
        <w:t xml:space="preserve"> </w:t>
      </w:r>
      <w:r>
        <w:rPr>
          <w:rFonts w:ascii="Segoe UI" w:hAnsi="Segoe UI" w:cs="Segoe UI"/>
          <w:color w:val="1C2333"/>
          <w:sz w:val="20"/>
          <w:szCs w:val="20"/>
          <w:lang w:val="es-ES"/>
        </w:rPr>
        <w:t>regula el uso de esa firma en los actos previstos en ella, y sus sujetos son las dependencias y entidades de la Administración Pública Federal, sus servidores públicos y los particulares únicamente cuando la utilizan en términos de esa ley (Cámara de Diputados, 2025c, arts. 1 y 3). No impone la firma avanzada a los actos entre particulares.</w:t>
      </w:r>
    </w:p>
    <w:p w14:paraId="2ECDFF51"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La </w:t>
      </w:r>
      <w:r>
        <w:rPr>
          <w:rStyle w:val="Fuerte"/>
          <w:rFonts w:ascii="Segoe UI" w:hAnsi="Segoe UI" w:cs="Segoe UI"/>
          <w:sz w:val="20"/>
          <w:szCs w:val="20"/>
          <w:lang w:val="es-ES"/>
        </w:rPr>
        <w:t>e.firma del Servicio de Administración Tributaria</w:t>
      </w:r>
      <w:r>
        <w:rPr>
          <w:rFonts w:ascii="Segoe UI" w:hAnsi="Segoe UI" w:cs="Segoe UI"/>
          <w:color w:val="1C2333"/>
          <w:sz w:val="20"/>
          <w:szCs w:val="20"/>
          <w:lang w:val="es-ES"/>
        </w:rPr>
        <w:t xml:space="preserve"> </w:t>
      </w:r>
      <w:r>
        <w:rPr>
          <w:rFonts w:ascii="Segoe UI" w:hAnsi="Segoe UI" w:cs="Segoe UI"/>
          <w:color w:val="1C2333"/>
          <w:sz w:val="20"/>
          <w:szCs w:val="20"/>
          <w:lang w:val="es-ES"/>
        </w:rPr>
        <w:t>tiene fundamento en el Código Fiscal de la Federación y su ámbito es fiscal: aplica cuando las disposiciones fiscales obligan a presentar documentos digitales (Cámara de Diputados, 2026b, art. 17-D). Exigirla a las familias para aceptar un reglamento escolar carecería de fundamento y sería, en la práctica, inviable.</w:t>
      </w:r>
    </w:p>
    <w:p w14:paraId="2FC8946D" w14:textId="77777777" w:rsidR="00C3550A" w:rsidRDefault="00C3550A">
      <w:pPr>
        <w:pStyle w:val="Ttulo3"/>
        <w:rPr>
          <w:rFonts w:ascii="Segoe UI" w:eastAsia="Times New Roman" w:hAnsi="Segoe UI" w:cs="Segoe UI"/>
          <w:lang w:val="es-ES"/>
        </w:rPr>
      </w:pPr>
      <w:r>
        <w:rPr>
          <w:rFonts w:ascii="Segoe UI" w:eastAsia="Times New Roman" w:hAnsi="Segoe UI" w:cs="Segoe UI"/>
          <w:lang w:val="es-ES"/>
        </w:rPr>
        <w:t>2.6 Conservación: la NOM-151 y a quién obliga</w:t>
      </w:r>
    </w:p>
    <w:p w14:paraId="3CF2F6CF"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Existe una norma oficial que regula las constancias de conservación de mensajes de datos. Su campo de aplicación es explícito: es «de observancia general para los comerciantes» que conforme al Código de Comercio deben conservar mensajes de datos (Secretaría de Economía, 2017, numeral 2). </w:t>
      </w:r>
      <w:r>
        <w:rPr>
          <w:rStyle w:val="Fuerte"/>
          <w:rFonts w:ascii="Segoe UI" w:hAnsi="Segoe UI" w:cs="Segoe UI"/>
          <w:sz w:val="20"/>
          <w:szCs w:val="20"/>
          <w:lang w:val="es-ES"/>
        </w:rPr>
        <w:t>El Instituto es una asociación civil y el acto analizado no es mercantil, de modo que la norma no lo obliga.</w:t>
      </w:r>
    </w:p>
    <w:p w14:paraId="4FF33B8A"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Adoptarla es una decisión de robustez probatoria, no de cumplimiento. Lo que aporta se describe en el apartado 6.</w:t>
      </w:r>
    </w:p>
    <w:p w14:paraId="413FFCE4" w14:textId="77777777" w:rsidR="00C3550A" w:rsidRDefault="00C3550A">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2133227D">
          <v:rect id="_x0000_i1027" style="width:0;height:1.5pt" o:hralign="center" o:hrstd="t" o:hr="t" fillcolor="#a0a0a0" stroked="f"/>
        </w:pict>
      </w:r>
    </w:p>
    <w:p w14:paraId="4ED595E9" w14:textId="77777777" w:rsidR="00C3550A" w:rsidRDefault="00C3550A">
      <w:pPr>
        <w:pStyle w:val="Ttulo2"/>
        <w:rPr>
          <w:rFonts w:ascii="Segoe UI" w:eastAsia="Times New Roman" w:hAnsi="Segoe UI" w:cs="Segoe UI"/>
          <w:lang w:val="es-ES"/>
        </w:rPr>
      </w:pPr>
      <w:r>
        <w:rPr>
          <w:rFonts w:ascii="Segoe UI" w:eastAsia="Times New Roman" w:hAnsi="Segoe UI" w:cs="Segoe UI"/>
          <w:lang w:val="es-ES"/>
        </w:rPr>
        <w:t>3. Confiabilidad del mecanismo: qué evidencia produce el sistema</w:t>
      </w:r>
    </w:p>
    <w:p w14:paraId="72E4F8BD"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Este apartado responde a la exigencia del criterio de la Suprema Corte. Describe el método con el detalle necesario para que pueda ser explicado y demostrado.</w:t>
      </w:r>
    </w:p>
    <w:p w14:paraId="5527567B" w14:textId="77777777" w:rsidR="00C3550A" w:rsidRDefault="00C3550A">
      <w:pPr>
        <w:pStyle w:val="Ttulo3"/>
        <w:rPr>
          <w:rFonts w:ascii="Segoe UI" w:eastAsia="Times New Roman" w:hAnsi="Segoe UI" w:cs="Segoe UI"/>
          <w:lang w:val="es-ES"/>
        </w:rPr>
      </w:pPr>
      <w:r>
        <w:rPr>
          <w:rFonts w:ascii="Segoe UI" w:eastAsia="Times New Roman" w:hAnsi="Segoe UI" w:cs="Segoe UI"/>
          <w:lang w:val="es-ES"/>
        </w:rPr>
        <w:t>3.1 Qué ocurre cuando alguien firma</w:t>
      </w:r>
    </w:p>
    <w:p w14:paraId="612D9535"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La persona lee el reglamento y el aviso de privacidad completos en la pantalla. La casilla de aceptación permanece deshabilitada hasta que el texto se ha desplazado hasta el final, de modo que no es posible aceptar sin haber recorrido el documento. Después escribe su nombre y dibuja su firma con el dedo o con el cursor.</w:t>
      </w:r>
    </w:p>
    <w:p w14:paraId="2CC1FB01"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Al enviar, ocurren dos cosas. El navegador convierte el trazo en una imagen, calcula su huella digital y la sube a un almacenamiento privado con un nombre aleatorio. Y el servidor, en una sola operación que no admite resultados parciales, crea el expediente, anota el movimiento en la bitácora y registra la aceptación.</w:t>
      </w:r>
    </w:p>
    <w:p w14:paraId="28C72CA8" w14:textId="77777777" w:rsidR="00C3550A" w:rsidRDefault="00C3550A">
      <w:pPr>
        <w:pStyle w:val="Ttulo3"/>
        <w:rPr>
          <w:rFonts w:ascii="Segoe UI" w:eastAsia="Times New Roman" w:hAnsi="Segoe UI" w:cs="Segoe UI"/>
          <w:lang w:val="es-ES"/>
        </w:rPr>
      </w:pPr>
      <w:r>
        <w:rPr>
          <w:rFonts w:ascii="Segoe UI" w:eastAsia="Times New Roman" w:hAnsi="Segoe UI" w:cs="Segoe UI"/>
          <w:lang w:val="es-ES"/>
        </w:rPr>
        <w:t>3.2 Los ocho elementos que quedan guardados</w:t>
      </w:r>
    </w:p>
    <w:p w14:paraId="7C08F3F5" w14:textId="77777777" w:rsidR="00C3550A" w:rsidRDefault="00C3550A">
      <w:pPr>
        <w:numPr>
          <w:ilvl w:val="0"/>
          <w:numId w:val="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La imagen de la firma</w:t>
      </w:r>
      <w:r>
        <w:rPr>
          <w:rFonts w:ascii="Segoe UI" w:eastAsia="Times New Roman" w:hAnsi="Segoe UI" w:cs="Segoe UI"/>
          <w:color w:val="1C2333"/>
          <w:sz w:val="20"/>
          <w:szCs w:val="20"/>
          <w:lang w:val="es-ES"/>
        </w:rPr>
        <w:t>, en un almacenamiento privado sin direcciones públicas. Una imagen nunca sobrescribe a otra. Para verla hace falta una sesión autorizada, y el sistema emite un enlace que caduca a los sesenta segundos.</w:t>
      </w:r>
    </w:p>
    <w:p w14:paraId="7E83F06A" w14:textId="77777777" w:rsidR="00C3550A" w:rsidRDefault="00C3550A">
      <w:pPr>
        <w:numPr>
          <w:ilvl w:val="0"/>
          <w:numId w:val="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La huella digital de esa imagen</w:t>
      </w:r>
      <w:r>
        <w:rPr>
          <w:rFonts w:ascii="Segoe UI" w:eastAsia="Times New Roman" w:hAnsi="Segoe UI" w:cs="Segoe UI"/>
          <w:color w:val="1C2333"/>
          <w:sz w:val="20"/>
          <w:szCs w:val="20"/>
          <w:lang w:val="es-ES"/>
        </w:rPr>
        <w:t>, un código de 64 caracteres que cambia por completo si se modifica un solo píxel.</w:t>
      </w:r>
    </w:p>
    <w:p w14:paraId="26AB20CC" w14:textId="77777777" w:rsidR="00C3550A" w:rsidRDefault="00C3550A">
      <w:pPr>
        <w:numPr>
          <w:ilvl w:val="0"/>
          <w:numId w:val="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El trazo vectorial</w:t>
      </w:r>
      <w:r>
        <w:rPr>
          <w:rFonts w:ascii="Segoe UI" w:eastAsia="Times New Roman" w:hAnsi="Segoe UI" w:cs="Segoe UI"/>
          <w:color w:val="1C2333"/>
          <w:sz w:val="20"/>
          <w:szCs w:val="20"/>
          <w:lang w:val="es-ES"/>
        </w:rPr>
        <w:t>, es decir, cada punto del recorrido con su posición, el tiempo transcurrido y la presión. Permite reproducir cómo se dibujó la firma y distinguirla de una imagen pegada.</w:t>
      </w:r>
    </w:p>
    <w:p w14:paraId="0E16098E" w14:textId="77777777" w:rsidR="00C3550A" w:rsidRDefault="00C3550A">
      <w:pPr>
        <w:numPr>
          <w:ilvl w:val="0"/>
          <w:numId w:val="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La versión exacta del reglamento</w:t>
      </w:r>
      <w:r>
        <w:rPr>
          <w:rFonts w:ascii="Segoe UI" w:eastAsia="Times New Roman" w:hAnsi="Segoe UI" w:cs="Segoe UI"/>
          <w:color w:val="1C2333"/>
          <w:sz w:val="20"/>
          <w:szCs w:val="20"/>
          <w:lang w:val="es-ES"/>
        </w:rPr>
        <w:t xml:space="preserve"> que la persona leyó, junto con la huella digital de su texto completo. Si el reglamento cambia después, la aceptación sigue apuntando al texto que se mostró.</w:t>
      </w:r>
    </w:p>
    <w:p w14:paraId="7E793F16" w14:textId="77777777" w:rsidR="00C3550A" w:rsidRDefault="00C3550A">
      <w:pPr>
        <w:numPr>
          <w:ilvl w:val="0"/>
          <w:numId w:val="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La versión exacta del aviso de privacidad</w:t>
      </w:r>
      <w:r>
        <w:rPr>
          <w:rFonts w:ascii="Segoe UI" w:eastAsia="Times New Roman" w:hAnsi="Segoe UI" w:cs="Segoe UI"/>
          <w:color w:val="1C2333"/>
          <w:sz w:val="20"/>
          <w:szCs w:val="20"/>
          <w:lang w:val="es-ES"/>
        </w:rPr>
        <w:t>, con el mismo tratamiento.</w:t>
      </w:r>
    </w:p>
    <w:p w14:paraId="0C76192B" w14:textId="77777777" w:rsidR="00C3550A" w:rsidRDefault="00C3550A">
      <w:pPr>
        <w:numPr>
          <w:ilvl w:val="0"/>
          <w:numId w:val="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El sello de tiempo</w:t>
      </w:r>
      <w:r>
        <w:rPr>
          <w:rFonts w:ascii="Segoe UI" w:eastAsia="Times New Roman" w:hAnsi="Segoe UI" w:cs="Segoe UI"/>
          <w:color w:val="1C2333"/>
          <w:sz w:val="20"/>
          <w:szCs w:val="20"/>
          <w:lang w:val="es-ES"/>
        </w:rPr>
        <w:t>, tomado del reloj del servidor y no del dispositivo de quien firma.</w:t>
      </w:r>
    </w:p>
    <w:p w14:paraId="29B048EF" w14:textId="77777777" w:rsidR="00C3550A" w:rsidRDefault="00C3550A">
      <w:pPr>
        <w:numPr>
          <w:ilvl w:val="0"/>
          <w:numId w:val="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La dirección de red y el navegador de origen</w:t>
      </w:r>
      <w:r>
        <w:rPr>
          <w:rFonts w:ascii="Segoe UI" w:eastAsia="Times New Roman" w:hAnsi="Segoe UI" w:cs="Segoe UI"/>
          <w:color w:val="1C2333"/>
          <w:sz w:val="20"/>
          <w:szCs w:val="20"/>
          <w:lang w:val="es-ES"/>
        </w:rPr>
        <w:t>, leídos por el servidor de la propia petición, no declarados por el cliente.</w:t>
      </w:r>
    </w:p>
    <w:p w14:paraId="6AEAC925" w14:textId="77777777" w:rsidR="00C3550A" w:rsidRDefault="00C3550A">
      <w:pPr>
        <w:numPr>
          <w:ilvl w:val="0"/>
          <w:numId w:val="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La huella digital del conjunto completo</w:t>
      </w:r>
      <w:r>
        <w:rPr>
          <w:rFonts w:ascii="Segoe UI" w:eastAsia="Times New Roman" w:hAnsi="Segoe UI" w:cs="Segoe UI"/>
          <w:color w:val="1C2333"/>
          <w:sz w:val="20"/>
          <w:szCs w:val="20"/>
          <w:lang w:val="es-ES"/>
        </w:rPr>
        <w:t>, calculada sobre un paquete que reúne los datos del expediente, las dos versiones de los documentos con sus huellas, la firma con la suya, el nombre y el rol del firmante y las circunstancias del envío.</w:t>
      </w:r>
    </w:p>
    <w:p w14:paraId="4C3385DB"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Además, el titular obtiene al terminar una copia del trámite con el texto íntegro de lo que aceptó, que puede imprimir o guardar.</w:t>
      </w:r>
    </w:p>
    <w:p w14:paraId="6FA2EE4F" w14:textId="77777777" w:rsidR="00C3550A" w:rsidRDefault="00C3550A">
      <w:pPr>
        <w:pStyle w:val="Ttulo3"/>
        <w:rPr>
          <w:rFonts w:ascii="Segoe UI" w:eastAsia="Times New Roman" w:hAnsi="Segoe UI" w:cs="Segoe UI"/>
          <w:lang w:val="es-ES"/>
        </w:rPr>
      </w:pPr>
      <w:r>
        <w:rPr>
          <w:rFonts w:ascii="Segoe UI" w:eastAsia="Times New Roman" w:hAnsi="Segoe UI" w:cs="Segoe UI"/>
          <w:lang w:val="es-ES"/>
        </w:rPr>
        <w:t>3.3 Cómo cada requisito legal queda cubierto</w:t>
      </w:r>
    </w:p>
    <w:tbl>
      <w:tblPr>
        <w:tblW w:w="5000" w:type="pct"/>
        <w:tblCellMar>
          <w:top w:w="15" w:type="dxa"/>
          <w:left w:w="15" w:type="dxa"/>
          <w:bottom w:w="15" w:type="dxa"/>
          <w:right w:w="15" w:type="dxa"/>
        </w:tblCellMar>
        <w:tblLook w:val="04A0" w:firstRow="1" w:lastRow="0" w:firstColumn="1" w:lastColumn="0" w:noHBand="0" w:noVBand="1"/>
      </w:tblPr>
      <w:tblGrid>
        <w:gridCol w:w="3328"/>
        <w:gridCol w:w="3329"/>
        <w:gridCol w:w="3327"/>
      </w:tblGrid>
      <w:tr w:rsidR="00000000" w:rsidRPr="00A946E4" w14:paraId="26201262" w14:textId="77777777" w:rsidTr="00A946E4">
        <w:trPr>
          <w:cantSplit/>
          <w:tblHeader/>
        </w:trPr>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89D3F0A" w14:textId="77777777" w:rsidR="00C3550A" w:rsidRPr="00A946E4" w:rsidRDefault="00C3550A">
            <w:pPr>
              <w:spacing w:before="120" w:after="180"/>
              <w:rPr>
                <w:rFonts w:ascii="Segoe UI" w:eastAsia="Times New Roman" w:hAnsi="Segoe UI" w:cs="Segoe UI"/>
                <w:b/>
                <w:bCs/>
                <w:color w:val="FFFFFF"/>
                <w:sz w:val="17"/>
                <w:szCs w:val="18"/>
              </w:rPr>
            </w:pPr>
            <w:r w:rsidRPr="00A946E4">
              <w:rPr>
                <w:rFonts w:ascii="Segoe UI" w:eastAsia="Times New Roman" w:hAnsi="Segoe UI" w:cs="Segoe UI"/>
                <w:b/>
                <w:bCs/>
                <w:color w:val="FFFFFF"/>
                <w:sz w:val="17"/>
                <w:szCs w:val="18"/>
              </w:rPr>
              <w:t>Requisito legal</w:t>
            </w:r>
          </w:p>
        </w:tc>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38843AB" w14:textId="77777777" w:rsidR="00C3550A" w:rsidRPr="00A946E4" w:rsidRDefault="00C3550A">
            <w:pPr>
              <w:spacing w:before="120" w:after="180"/>
              <w:rPr>
                <w:rFonts w:ascii="Segoe UI" w:eastAsia="Times New Roman" w:hAnsi="Segoe UI" w:cs="Segoe UI"/>
                <w:b/>
                <w:bCs/>
                <w:color w:val="FFFFFF"/>
                <w:sz w:val="17"/>
                <w:szCs w:val="18"/>
              </w:rPr>
            </w:pPr>
            <w:r w:rsidRPr="00A946E4">
              <w:rPr>
                <w:rFonts w:ascii="Segoe UI" w:eastAsia="Times New Roman" w:hAnsi="Segoe UI" w:cs="Segoe UI"/>
                <w:b/>
                <w:bCs/>
                <w:color w:val="FFFFFF"/>
                <w:sz w:val="17"/>
                <w:szCs w:val="18"/>
              </w:rPr>
              <w:t>Fundamento</w:t>
            </w:r>
          </w:p>
        </w:tc>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3D98B337" w14:textId="77777777" w:rsidR="00C3550A" w:rsidRPr="00A946E4" w:rsidRDefault="00C3550A">
            <w:pPr>
              <w:spacing w:before="120" w:after="180"/>
              <w:rPr>
                <w:rFonts w:ascii="Segoe UI" w:eastAsia="Times New Roman" w:hAnsi="Segoe UI" w:cs="Segoe UI"/>
                <w:b/>
                <w:bCs/>
                <w:color w:val="FFFFFF"/>
                <w:sz w:val="17"/>
                <w:szCs w:val="18"/>
              </w:rPr>
            </w:pPr>
            <w:r w:rsidRPr="00A946E4">
              <w:rPr>
                <w:rFonts w:ascii="Segoe UI" w:eastAsia="Times New Roman" w:hAnsi="Segoe UI" w:cs="Segoe UI"/>
                <w:b/>
                <w:bCs/>
                <w:color w:val="FFFFFF"/>
                <w:sz w:val="17"/>
                <w:szCs w:val="18"/>
              </w:rPr>
              <w:t>Cómo lo satisface el mecanismo</w:t>
            </w:r>
          </w:p>
        </w:tc>
      </w:tr>
      <w:tr w:rsidR="00000000" w:rsidRPr="00A946E4" w14:paraId="53E84EE4" w14:textId="77777777" w:rsidTr="00A946E4">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76E056E"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Integridad: la información se mantiene íntegra e inalterada</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2D31FE9"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CCF art. 1834 bis; CNPCF art. 350</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87BE40B"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Huella digital del conjunto completo, calculada al firmar. Recalcularla sobre los datos guardados y compararla demuestra que nada cambió.</w:t>
            </w:r>
          </w:p>
        </w:tc>
      </w:tr>
      <w:tr w:rsidR="00000000" w:rsidRPr="00A946E4" w14:paraId="5B04540E" w14:textId="77777777" w:rsidTr="00A946E4">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22752F4"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Detección de alteraciones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9A6111E"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CCom art. 97, frs. III y IV</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2EB6166"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Huellas independientes del texto del reglamento, del texto del aviso y de la imagen de la firma. Una alteración en cualquiera de los tres rompe la comparación.</w:t>
            </w:r>
          </w:p>
        </w:tc>
      </w:tr>
      <w:tr w:rsidR="00000000" w:rsidRPr="00A946E4" w14:paraId="0156CF82" w14:textId="77777777" w:rsidTr="00A946E4">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0197A4C"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Accesibilidad para ulterior consulta</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C758DF2"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CCF art. 1834 bis; CNPCF art. 350</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4D38309"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La aceptación se conserva en la base de datos y puede consultarse desde el panel; el titular conserva además su propia copia.</w:t>
            </w:r>
          </w:p>
        </w:tc>
      </w:tr>
      <w:tr w:rsidR="00000000" w:rsidRPr="00A946E4" w14:paraId="73FAB214" w14:textId="77777777" w:rsidTr="00A946E4">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A635C87"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Momento cierto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0E1B0FD"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CNPCF art. 349</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D4FA85B"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Sello de tiempo del servidor, no manipulable desde el dispositivo del firmante.</w:t>
            </w:r>
          </w:p>
        </w:tc>
      </w:tr>
      <w:tr w:rsidR="00000000" w:rsidRPr="00A946E4" w14:paraId="4CD08E24" w14:textId="77777777" w:rsidTr="00A946E4">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38E8F64"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Atribución</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F1FDF59"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CCF art. 1834 bis; CCom art. 93</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4C82216"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Cubierta parcialmente. Véase el apartado 3.5.</w:t>
            </w:r>
          </w:p>
        </w:tc>
      </w:tr>
      <w:tr w:rsidR="00000000" w:rsidRPr="00A946E4" w14:paraId="091C0E13" w14:textId="77777777" w:rsidTr="00A946E4">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7E9E759"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Inalterabilidad posterior</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35D2D3A"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CNPCF art. 350</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89CF97E"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La aceptación se escribe una sola vez y el sistema no ofrece forma de modificarla ni borrarla desde el panel.</w:t>
            </w:r>
          </w:p>
        </w:tc>
      </w:tr>
      <w:tr w:rsidR="00000000" w:rsidRPr="00A946E4" w14:paraId="126354C5" w14:textId="77777777" w:rsidTr="00A946E4">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454A454"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Consentimiento expreso que consta por escrito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E30F18D"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LFPDPPP art. 8</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6AF6932"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Firma electrónica sobre el aviso de privacidad, con la versión y su huella registradas.</w:t>
            </w:r>
          </w:p>
        </w:tc>
      </w:tr>
      <w:tr w:rsidR="00000000" w:rsidRPr="00A946E4" w14:paraId="7C14FE5C" w14:textId="77777777" w:rsidTr="00A946E4">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7B7C67D"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Prueba de que el aviso se puso a disposición</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0465060"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Principio de información, LFPDPPP arts. 15 y 16</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48637BD"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La versión exacta del aviso mostrado queda registrada, junto con el registro de que el texto se recorrió hasta el final.</w:t>
            </w:r>
          </w:p>
        </w:tc>
      </w:tr>
    </w:tbl>
    <w:p w14:paraId="4C6F122C" w14:textId="77777777" w:rsidR="00C3550A" w:rsidRDefault="00C3550A">
      <w:pPr>
        <w:pStyle w:val="Ttulo3"/>
        <w:rPr>
          <w:rFonts w:ascii="Segoe UI" w:eastAsia="Times New Roman" w:hAnsi="Segoe UI" w:cs="Segoe UI"/>
          <w:lang w:val="es-ES"/>
        </w:rPr>
      </w:pPr>
      <w:r>
        <w:rPr>
          <w:rFonts w:ascii="Segoe UI" w:eastAsia="Times New Roman" w:hAnsi="Segoe UI" w:cs="Segoe UI"/>
          <w:lang w:val="es-ES"/>
        </w:rPr>
        <w:t>3.4 La prueba de que el método funciona</w:t>
      </w:r>
    </w:p>
    <w:p w14:paraId="5C18FA79"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La afirmación de integridad no es teórica. El sistema puede tomar una aceptación cualquiera, recalcular la huella sobre los datos almacenados y compararla con la que quedó registrada al firmar. Si coincide, ni el texto de los documentos, ni los datos del expediente, ni la imagen de la firma se han modificado desde entonces. Esa comprobación puede ejecutarse en pantalla en presencia de quien lo solicite.</w:t>
      </w:r>
    </w:p>
    <w:p w14:paraId="454DE1A7" w14:textId="77777777" w:rsidR="00C3550A" w:rsidRDefault="00C3550A">
      <w:pPr>
        <w:pStyle w:val="Ttulo3"/>
        <w:rPr>
          <w:rFonts w:ascii="Segoe UI" w:eastAsia="Times New Roman" w:hAnsi="Segoe UI" w:cs="Segoe UI"/>
          <w:lang w:val="es-ES"/>
        </w:rPr>
      </w:pPr>
      <w:r>
        <w:rPr>
          <w:rFonts w:ascii="Segoe UI" w:eastAsia="Times New Roman" w:hAnsi="Segoe UI" w:cs="Segoe UI"/>
          <w:lang w:val="es-ES"/>
        </w:rPr>
        <w:t>3.5 Lo que el mecanismo no acredita, dicho con precisión</w:t>
      </w:r>
    </w:p>
    <w:p w14:paraId="57D69A82"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La evidencia descrita demuestra con solidez </w:t>
      </w:r>
      <w:r>
        <w:rPr>
          <w:rStyle w:val="Fuerte"/>
          <w:rFonts w:ascii="Segoe UI" w:hAnsi="Segoe UI" w:cs="Segoe UI"/>
          <w:sz w:val="20"/>
          <w:szCs w:val="20"/>
          <w:lang w:val="es-ES"/>
        </w:rPr>
        <w:t>qué se aceptó, cuándo, y que no cambió después</w:t>
      </w:r>
      <w:r>
        <w:rPr>
          <w:rFonts w:ascii="Segoe UI" w:hAnsi="Segoe UI" w:cs="Segoe UI"/>
          <w:color w:val="1C2333"/>
          <w:sz w:val="20"/>
          <w:szCs w:val="20"/>
          <w:lang w:val="es-ES"/>
        </w:rPr>
        <w:t xml:space="preserve">. No demuestra por sí sola </w:t>
      </w:r>
      <w:r>
        <w:rPr>
          <w:rStyle w:val="Fuerte"/>
          <w:rFonts w:ascii="Segoe UI" w:hAnsi="Segoe UI" w:cs="Segoe UI"/>
          <w:sz w:val="20"/>
          <w:szCs w:val="20"/>
          <w:lang w:val="es-ES"/>
        </w:rPr>
        <w:t>quién firmó</w:t>
      </w:r>
      <w:r>
        <w:rPr>
          <w:rFonts w:ascii="Segoe UI" w:hAnsi="Segoe UI" w:cs="Segoe UI"/>
          <w:color w:val="1C2333"/>
          <w:sz w:val="20"/>
          <w:szCs w:val="20"/>
          <w:lang w:val="es-ES"/>
        </w:rPr>
        <w:t>.</w:t>
      </w:r>
    </w:p>
    <w:p w14:paraId="5EF25B12"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La razón es concreta. El Código de Comercio presume que un mensaje proviene del emisor cuando se envió usando medios de identificación tales como claves o contraseñas suyas (Cámara de Diputados, 2025a, art. 90, fr. II). En el formulario público no hay cuenta ni contraseña: el nombre lo escribe la propia persona. Esa presunción, por tanto, no está disponible.</w:t>
      </w:r>
    </w:p>
    <w:p w14:paraId="129CA652"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Esto no invalida la firma. Significa que la atribución debe sostenerse con otros elementos, y que esos elementos son distintos en cada uno de los dos casos que siguen.</w:t>
      </w:r>
    </w:p>
    <w:p w14:paraId="1EA55708" w14:textId="77777777" w:rsidR="00C3550A" w:rsidRDefault="00C3550A">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41BEC66A">
          <v:rect id="_x0000_i1028" style="width:0;height:1.5pt" o:hralign="center" o:hrstd="t" o:hr="t" fillcolor="#a0a0a0" stroked="f"/>
        </w:pict>
      </w:r>
    </w:p>
    <w:p w14:paraId="48088D12" w14:textId="77777777" w:rsidR="00C3550A" w:rsidRDefault="00C3550A">
      <w:pPr>
        <w:pStyle w:val="Ttulo2"/>
        <w:rPr>
          <w:rFonts w:ascii="Segoe UI" w:eastAsia="Times New Roman" w:hAnsi="Segoe UI" w:cs="Segoe UI"/>
          <w:lang w:val="es-ES"/>
        </w:rPr>
      </w:pPr>
      <w:r>
        <w:rPr>
          <w:rFonts w:ascii="Segoe UI" w:eastAsia="Times New Roman" w:hAnsi="Segoe UI" w:cs="Segoe UI"/>
          <w:lang w:val="es-ES"/>
        </w:rPr>
        <w:t>4. Primer caso: el reglamento de acceso vehicular</w:t>
      </w:r>
    </w:p>
    <w:p w14:paraId="0B18CA1A"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El trámite no termina en la pantalla. Después de firmar, el titular acude a Administración a pagar, y vuelve a presentarse para que se le instale el TAG en el vehículo. Son dos encuentros presenciales.</w:t>
      </w:r>
    </w:p>
    <w:p w14:paraId="510E03C3"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En el primero, el personal cobra, verifica el tipo de usuario declarado y comprueba que la familia pertenece al Instituto. En el segundo se coteja que el vehículo corresponde a los datos declarados antes de colocar el TAG. Cada paso queda registrado con la identidad de quien lo realizó, tomada de su sesión y no tecleada.</w:t>
      </w:r>
    </w:p>
    <w:p w14:paraId="21B33226"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El resultado es que la atribución se apoya en la firma electrónica reforzada más dos verificaciones presenciales. Para un reglamento interno de acceso vehicular, con una cuota fija de control y sin obligaciones económicas prolongadas, ese conjunto resulta proporcional al acto.</w:t>
      </w:r>
    </w:p>
    <w:p w14:paraId="72979B44" w14:textId="77777777" w:rsidR="00C3550A" w:rsidRDefault="00C3550A">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4ECEA267">
          <v:rect id="_x0000_i1029" style="width:0;height:1.5pt" o:hralign="center" o:hrstd="t" o:hr="t" fillcolor="#a0a0a0" stroked="f"/>
        </w:pict>
      </w:r>
    </w:p>
    <w:p w14:paraId="3D2C7A23" w14:textId="77777777" w:rsidR="00C3550A" w:rsidRDefault="00C3550A">
      <w:pPr>
        <w:pStyle w:val="Ttulo2"/>
        <w:rPr>
          <w:rFonts w:ascii="Segoe UI" w:eastAsia="Times New Roman" w:hAnsi="Segoe UI" w:cs="Segoe UI"/>
          <w:lang w:val="es-ES"/>
        </w:rPr>
      </w:pPr>
      <w:r>
        <w:rPr>
          <w:rFonts w:ascii="Segoe UI" w:eastAsia="Times New Roman" w:hAnsi="Segoe UI" w:cs="Segoe UI"/>
          <w:lang w:val="es-ES"/>
        </w:rPr>
        <w:t>5. Segundo caso: los documentos del handbook</w:t>
      </w:r>
    </w:p>
    <w:p w14:paraId="6E56630F"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Aquí las condiciones cambian de manera relevante y conviene no trasladar mecánicamente la conclusión anterior.</w:t>
      </w:r>
    </w:p>
    <w:p w14:paraId="03232832"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Los documentos se firmarían a distancia, sin ningún encuentro presencial que respalde la identidad. Se requiere la firma de ambos tutores cuando ambos ejercen la patria potestad. Y su contenido puede generar obligaciones de mayor alcance que el uso de un cajón de estacionamiento.</w:t>
      </w:r>
    </w:p>
    <w:p w14:paraId="76C9AF72"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Existe, sin embargo, un elemento que el caso anterior no tiene: </w:t>
      </w:r>
      <w:r>
        <w:rPr>
          <w:rStyle w:val="Fuerte"/>
          <w:rFonts w:ascii="Segoe UI" w:hAnsi="Segoe UI" w:cs="Segoe UI"/>
          <w:sz w:val="20"/>
          <w:szCs w:val="20"/>
          <w:lang w:val="es-ES"/>
        </w:rPr>
        <w:t>el Instituto ya conoce el correo electrónico de cada tutor</w:t>
      </w:r>
      <w:r>
        <w:rPr>
          <w:rFonts w:ascii="Segoe UI" w:hAnsi="Segoe UI" w:cs="Segoe UI"/>
          <w:color w:val="1C2333"/>
          <w:sz w:val="20"/>
          <w:szCs w:val="20"/>
          <w:lang w:val="es-ES"/>
        </w:rPr>
        <w:t>, porque consta en el sistema de gestión escolar. Eso permite construir la atribución que al formulario público le falta.</w:t>
      </w:r>
    </w:p>
    <w:p w14:paraId="325CABD7"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El mecanismo consiste en enviar el enlace de firma únicamente a ese correo registrado, acompañado de un código de un solo uso que debe introducirse para firmar. Con ello se satisface el supuesto del artículo 90, fracción II, del Código de Comercio, y además el del artículo 90 bis, que presume que el mensaje proviene del emisor cuando se aplicó adecuadamente un procedimiento acordado previamente con él (Cámara de Diputados, 2025a, arts. 90 y 90 bis). Para que esa presunción opere conviene que el procedimient</w:t>
      </w:r>
      <w:r>
        <w:rPr>
          <w:rFonts w:ascii="Segoe UI" w:hAnsi="Segoe UI" w:cs="Segoe UI"/>
          <w:color w:val="1C2333"/>
          <w:sz w:val="20"/>
          <w:szCs w:val="20"/>
          <w:lang w:val="es-ES"/>
        </w:rPr>
        <w:t>o quede declarado en el propio documento que se firma.</w:t>
      </w:r>
    </w:p>
    <w:p w14:paraId="28393897"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Sobre menores de edad, la regla es clara: quien no ha cumplido dieciocho años no puede obligarse por sí mismo, y consienten quienes ejercen la patria potestad o la tutela (Cámara de Diputados, 2025b, arts. 23, 424, 425 y 646). La Ley General de los Derechos de Niñas, Niños y Adolescentes añade dos reglas aplicables: el derecho a la intimidad personal y familiar y a la protección de sus datos personales (Cámara de Diputados, 2025d, art. 76), y el derecho a ser escuchados y tomados en cuenta en los asuntos de</w:t>
      </w:r>
      <w:r>
        <w:rPr>
          <w:rFonts w:ascii="Segoe UI" w:hAnsi="Segoe UI" w:cs="Segoe UI"/>
          <w:color w:val="1C2333"/>
          <w:sz w:val="20"/>
          <w:szCs w:val="20"/>
          <w:lang w:val="es-ES"/>
        </w:rPr>
        <w:t xml:space="preserve"> su interés, conforme a su edad y madurez (Cámara de Diputados, 2025d, art. 71). Este último es el que sostiene recabar la opinión del adolescente además del consentimiento de quien lo representa. El interés superior de la niñez es principio constitucional (Constitución Política de los Estados Unidos Mexicanos, 2026, art. 4).</w:t>
      </w:r>
    </w:p>
    <w:p w14:paraId="363CB865" w14:textId="77777777" w:rsidR="00C3550A" w:rsidRDefault="00C3550A">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683937B6">
          <v:rect id="_x0000_i1030" style="width:0;height:1.5pt" o:hralign="center" o:hrstd="t" o:hr="t" fillcolor="#a0a0a0" stroked="f"/>
        </w:pict>
      </w:r>
    </w:p>
    <w:p w14:paraId="527AD5BA" w14:textId="77777777" w:rsidR="00C3550A" w:rsidRDefault="00C3550A">
      <w:pPr>
        <w:pStyle w:val="Ttulo2"/>
        <w:rPr>
          <w:rFonts w:ascii="Segoe UI" w:eastAsia="Times New Roman" w:hAnsi="Segoe UI" w:cs="Segoe UI"/>
          <w:lang w:val="es-ES"/>
        </w:rPr>
      </w:pPr>
      <w:r>
        <w:rPr>
          <w:rFonts w:ascii="Segoe UI" w:eastAsia="Times New Roman" w:hAnsi="Segoe UI" w:cs="Segoe UI"/>
          <w:lang w:val="es-ES"/>
        </w:rPr>
        <w:t>6. La constancia de conservación y su costo</w:t>
      </w:r>
    </w:p>
    <w:p w14:paraId="4D663502" w14:textId="77777777" w:rsidR="00C3550A" w:rsidRDefault="00C3550A">
      <w:pPr>
        <w:pStyle w:val="Ttulo3"/>
        <w:rPr>
          <w:rFonts w:ascii="Segoe UI" w:eastAsia="Times New Roman" w:hAnsi="Segoe UI" w:cs="Segoe UI"/>
          <w:lang w:val="es-ES"/>
        </w:rPr>
      </w:pPr>
      <w:r>
        <w:rPr>
          <w:rFonts w:ascii="Segoe UI" w:eastAsia="Times New Roman" w:hAnsi="Segoe UI" w:cs="Segoe UI"/>
          <w:lang w:val="es-ES"/>
        </w:rPr>
        <w:t>6.1 Qué es y qué aporta</w:t>
      </w:r>
    </w:p>
    <w:p w14:paraId="650C71E7"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Un prestador de servicios de certificación acreditado por la Secretaría de Economía puede emitir una constancia que acredita que un documento existía en determinada fecha y que no ha sido alterado desde entonces (Secretaría de Economía, 2017, numeral 4.2 y apéndice A). La diferencia con el mecanismo actual es de quién sostiene la afirmación: hoy la sostiene el propio Instituto con su huella y su reloj; con la constancia la sostiene un tercero acreditado.</w:t>
      </w:r>
    </w:p>
    <w:p w14:paraId="297AA581"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Un dato relevante para la privacidad: </w:t>
      </w:r>
      <w:r>
        <w:rPr>
          <w:rStyle w:val="Fuerte"/>
          <w:rFonts w:ascii="Segoe UI" w:hAnsi="Segoe UI" w:cs="Segoe UI"/>
          <w:sz w:val="20"/>
          <w:szCs w:val="20"/>
          <w:lang w:val="es-ES"/>
        </w:rPr>
        <w:t>el prestador recibe únicamente la huella digital del documento, nunca el documento ni los datos personales</w:t>
      </w:r>
      <w:r>
        <w:rPr>
          <w:rFonts w:ascii="Segoe UI" w:hAnsi="Segoe UI" w:cs="Segoe UI"/>
          <w:color w:val="1C2333"/>
          <w:sz w:val="20"/>
          <w:szCs w:val="20"/>
          <w:lang w:val="es-ES"/>
        </w:rPr>
        <w:t xml:space="preserve"> (Secretaría de Economía, 2017, apéndice A). La huella es un código del que no puede reconstruirse el contenido original.</w:t>
      </w:r>
    </w:p>
    <w:p w14:paraId="612BFFA2"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La constancia tiene una vigencia mínima de diez años desde su emisión (Secretaría de Economía, 2017, apéndice A, numeral A.8.4.1).</w:t>
      </w:r>
    </w:p>
    <w:p w14:paraId="6FFAC569" w14:textId="77777777" w:rsidR="00C3550A" w:rsidRDefault="00C3550A">
      <w:pPr>
        <w:pStyle w:val="Ttulo3"/>
        <w:rPr>
          <w:rFonts w:ascii="Segoe UI" w:eastAsia="Times New Roman" w:hAnsi="Segoe UI" w:cs="Segoe UI"/>
          <w:lang w:val="es-ES"/>
        </w:rPr>
      </w:pPr>
      <w:r>
        <w:rPr>
          <w:rFonts w:ascii="Segoe UI" w:eastAsia="Times New Roman" w:hAnsi="Segoe UI" w:cs="Segoe UI"/>
          <w:lang w:val="es-ES"/>
        </w:rPr>
        <w:t>6.2 Las dos modalidades</w:t>
      </w:r>
    </w:p>
    <w:p w14:paraId="02744C01" w14:textId="77777777" w:rsidR="00C3550A" w:rsidRDefault="00C3550A">
      <w:pPr>
        <w:pStyle w:val="NormalWeb"/>
        <w:rPr>
          <w:rFonts w:ascii="Segoe UI" w:hAnsi="Segoe UI" w:cs="Segoe UI"/>
          <w:color w:val="1C2333"/>
          <w:sz w:val="20"/>
          <w:szCs w:val="20"/>
          <w:lang w:val="es-ES"/>
        </w:rPr>
      </w:pPr>
      <w:r>
        <w:rPr>
          <w:rStyle w:val="Fuerte"/>
          <w:rFonts w:ascii="Segoe UI" w:hAnsi="Segoe UI" w:cs="Segoe UI"/>
          <w:sz w:val="20"/>
          <w:szCs w:val="20"/>
          <w:lang w:val="es-ES"/>
        </w:rPr>
        <w:t>Una constancia por cada documento firmado.</w:t>
      </w:r>
      <w:r>
        <w:rPr>
          <w:rFonts w:ascii="Segoe UI" w:hAnsi="Segoe UI" w:cs="Segoe UI"/>
          <w:color w:val="1C2333"/>
          <w:sz w:val="20"/>
          <w:szCs w:val="20"/>
          <w:lang w:val="es-ES"/>
        </w:rPr>
        <w:t xml:space="preserve"> </w:t>
      </w:r>
      <w:r>
        <w:rPr>
          <w:rFonts w:ascii="Segoe UI" w:hAnsi="Segoe UI" w:cs="Segoe UI"/>
          <w:color w:val="1C2333"/>
          <w:sz w:val="20"/>
          <w:szCs w:val="20"/>
          <w:lang w:val="es-ES"/>
        </w:rPr>
        <w:t>Cada expediente obtiene su propio sello del tercero. Es la modalidad más sencilla de exhibir: se presenta el documento y su constancia.</w:t>
      </w:r>
    </w:p>
    <w:p w14:paraId="42946368" w14:textId="77777777" w:rsidR="00C3550A" w:rsidRDefault="00C3550A">
      <w:pPr>
        <w:pStyle w:val="NormalWeb"/>
        <w:rPr>
          <w:rFonts w:ascii="Segoe UI" w:hAnsi="Segoe UI" w:cs="Segoe UI"/>
          <w:color w:val="1C2333"/>
          <w:sz w:val="20"/>
          <w:szCs w:val="20"/>
          <w:lang w:val="es-ES"/>
        </w:rPr>
      </w:pPr>
      <w:r>
        <w:rPr>
          <w:rStyle w:val="Fuerte"/>
          <w:rFonts w:ascii="Segoe UI" w:hAnsi="Segoe UI" w:cs="Segoe UI"/>
          <w:sz w:val="20"/>
          <w:szCs w:val="20"/>
          <w:lang w:val="es-ES"/>
        </w:rPr>
        <w:t>Una constancia por lote.</w:t>
      </w:r>
      <w:r>
        <w:rPr>
          <w:rFonts w:ascii="Segoe UI" w:hAnsi="Segoe UI" w:cs="Segoe UI"/>
          <w:color w:val="1C2333"/>
          <w:sz w:val="20"/>
          <w:szCs w:val="20"/>
          <w:lang w:val="es-ES"/>
        </w:rPr>
        <w:t xml:space="preserve"> Conviene ser preciso aquí, porque la norma </w:t>
      </w:r>
      <w:r>
        <w:rPr>
          <w:rStyle w:val="Fuerte"/>
          <w:rFonts w:ascii="Segoe UI" w:hAnsi="Segoe UI" w:cs="Segoe UI"/>
          <w:sz w:val="20"/>
          <w:szCs w:val="20"/>
          <w:lang w:val="es-ES"/>
        </w:rPr>
        <w:t>no ofrece esta modalidad</w:t>
      </w:r>
      <w:r>
        <w:rPr>
          <w:rFonts w:ascii="Segoe UI" w:hAnsi="Segoe UI" w:cs="Segoe UI"/>
          <w:color w:val="1C2333"/>
          <w:sz w:val="20"/>
          <w:szCs w:val="20"/>
          <w:lang w:val="es-ES"/>
        </w:rPr>
        <w:t xml:space="preserve">: su apéndice describe la solicitud de una constancia sobre la huella de </w:t>
      </w:r>
      <w:r>
        <w:rPr>
          <w:rStyle w:val="nfasis"/>
          <w:rFonts w:ascii="Segoe UI" w:hAnsi="Segoe UI" w:cs="Segoe UI"/>
          <w:color w:val="1C2333"/>
          <w:sz w:val="20"/>
          <w:szCs w:val="20"/>
          <w:lang w:val="es-ES"/>
        </w:rPr>
        <w:t>un</w:t>
      </w:r>
      <w:r>
        <w:rPr>
          <w:rFonts w:ascii="Segoe UI" w:hAnsi="Segoe UI" w:cs="Segoe UI"/>
          <w:color w:val="1C2333"/>
          <w:sz w:val="20"/>
          <w:szCs w:val="20"/>
          <w:lang w:val="es-ES"/>
        </w:rPr>
        <w:t xml:space="preserve"> </w:t>
      </w:r>
      <w:r>
        <w:rPr>
          <w:rFonts w:ascii="Segoe UI" w:hAnsi="Segoe UI" w:cs="Segoe UI"/>
          <w:color w:val="1C2333"/>
          <w:sz w:val="20"/>
          <w:szCs w:val="20"/>
          <w:lang w:val="es-ES"/>
        </w:rPr>
        <w:t>mensaje de datos. El lote se construye sobre la norma, no dentro de ella, y la forma correcta es convertir el propio lote en un mensaje de datos: se genera un documento que enumera las huellas de todos los expedientes del periodo, y se solicita la constancia sobre la huella de ese documento.</w:t>
      </w:r>
    </w:p>
    <w:p w14:paraId="51B66A98"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Tiene dos consecuencias que el área legal debe conocer. Para demostrar un caso concreto hay que exhibir tres cosas y no una: la constancia, el documento que enumera las huellas, y el expediente cuya huella figura en esa lista. Y la fecha certificada tiene la granularidad del periodo elegido, no del minuto de la firma.</w:t>
      </w:r>
    </w:p>
    <w:p w14:paraId="5E242395" w14:textId="77777777" w:rsidR="00C3550A" w:rsidRDefault="00C3550A">
      <w:pPr>
        <w:pStyle w:val="Ttulo3"/>
        <w:rPr>
          <w:rFonts w:ascii="Segoe UI" w:eastAsia="Times New Roman" w:hAnsi="Segoe UI" w:cs="Segoe UI"/>
          <w:lang w:val="es-ES"/>
        </w:rPr>
      </w:pPr>
      <w:r>
        <w:rPr>
          <w:rFonts w:ascii="Segoe UI" w:eastAsia="Times New Roman" w:hAnsi="Segoe UI" w:cs="Segoe UI"/>
          <w:lang w:val="es-ES"/>
        </w:rPr>
        <w:t>6.3 El costo, con la aritmética a la vista</w:t>
      </w:r>
    </w:p>
    <w:p w14:paraId="2B75E738"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El precio de mercado de una constancia se ubica </w:t>
      </w:r>
      <w:r>
        <w:rPr>
          <w:rStyle w:val="Fuerte"/>
          <w:rFonts w:ascii="Segoe UI" w:hAnsi="Segoe UI" w:cs="Segoe UI"/>
          <w:sz w:val="20"/>
          <w:szCs w:val="20"/>
          <w:lang w:val="es-ES"/>
        </w:rPr>
        <w:t>entre 14 y 90 pesos</w:t>
      </w:r>
      <w:r>
        <w:rPr>
          <w:rFonts w:ascii="Segoe UI" w:hAnsi="Segoe UI" w:cs="Segoe UI"/>
          <w:color w:val="1C2333"/>
          <w:sz w:val="20"/>
          <w:szCs w:val="20"/>
          <w:lang w:val="es-ES"/>
        </w:rPr>
        <w:t>, según el proveedor. El costo anual depende de cuántas constancias se emitan, no de cuántos documentos se firmen. De ahí la diferencia entre las modalidades.</w:t>
      </w:r>
    </w:p>
    <w:p w14:paraId="65340BE2"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El siguiente cálculo supone </w:t>
      </w:r>
      <w:r>
        <w:rPr>
          <w:rStyle w:val="Fuerte"/>
          <w:rFonts w:ascii="Segoe UI" w:hAnsi="Segoe UI" w:cs="Segoe UI"/>
          <w:sz w:val="20"/>
          <w:szCs w:val="20"/>
          <w:lang w:val="es-ES"/>
        </w:rPr>
        <w:t>400 firmas al año</w:t>
      </w:r>
      <w:r>
        <w:rPr>
          <w:rFonts w:ascii="Segoe UI" w:hAnsi="Segoe UI" w:cs="Segoe UI"/>
          <w:color w:val="1C2333"/>
          <w:sz w:val="20"/>
          <w:szCs w:val="20"/>
          <w:lang w:val="es-ES"/>
        </w:rPr>
        <w:t>, que es el orden de magnitud del trámite del TAG. La cifra debe confirmarse antes de decidir; para el handbook el volumen sería considerablemente mayor, y la fórmula se explica debajo de la tabla.</w:t>
      </w:r>
    </w:p>
    <w:tbl>
      <w:tblPr>
        <w:tblW w:w="5000" w:type="pct"/>
        <w:tblCellMar>
          <w:top w:w="15" w:type="dxa"/>
          <w:left w:w="15" w:type="dxa"/>
          <w:bottom w:w="15" w:type="dxa"/>
          <w:right w:w="15" w:type="dxa"/>
        </w:tblCellMar>
        <w:tblLook w:val="04A0" w:firstRow="1" w:lastRow="0" w:firstColumn="1" w:lastColumn="0" w:noHBand="0" w:noVBand="1"/>
      </w:tblPr>
      <w:tblGrid>
        <w:gridCol w:w="2496"/>
        <w:gridCol w:w="2496"/>
        <w:gridCol w:w="2496"/>
        <w:gridCol w:w="2496"/>
      </w:tblGrid>
      <w:tr w:rsidR="00000000" w:rsidRPr="00A946E4" w14:paraId="35A66919" w14:textId="77777777" w:rsidTr="00A946E4">
        <w:trPr>
          <w:cantSplit/>
          <w:tblHeader/>
        </w:trPr>
        <w:tc>
          <w:tcPr>
            <w:tcW w:w="125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8B8D451" w14:textId="77777777" w:rsidR="00C3550A" w:rsidRPr="00A946E4" w:rsidRDefault="00C3550A">
            <w:pPr>
              <w:spacing w:before="120" w:after="180"/>
              <w:rPr>
                <w:rFonts w:ascii="Segoe UI" w:eastAsia="Times New Roman" w:hAnsi="Segoe UI" w:cs="Segoe UI"/>
                <w:b/>
                <w:bCs/>
                <w:color w:val="FFFFFF"/>
                <w:sz w:val="17"/>
                <w:szCs w:val="18"/>
              </w:rPr>
            </w:pPr>
            <w:r w:rsidRPr="00A946E4">
              <w:rPr>
                <w:rFonts w:ascii="Segoe UI" w:eastAsia="Times New Roman" w:hAnsi="Segoe UI" w:cs="Segoe UI"/>
                <w:b/>
                <w:bCs/>
                <w:color w:val="FFFFFF"/>
                <w:sz w:val="17"/>
                <w:szCs w:val="18"/>
              </w:rPr>
              <w:t>Modalidad</w:t>
            </w:r>
          </w:p>
        </w:tc>
        <w:tc>
          <w:tcPr>
            <w:tcW w:w="125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05B5DA88" w14:textId="77777777" w:rsidR="00C3550A" w:rsidRPr="00A946E4" w:rsidRDefault="00C3550A">
            <w:pPr>
              <w:spacing w:before="120" w:after="180"/>
              <w:rPr>
                <w:rFonts w:ascii="Segoe UI" w:eastAsia="Times New Roman" w:hAnsi="Segoe UI" w:cs="Segoe UI"/>
                <w:b/>
                <w:bCs/>
                <w:color w:val="FFFFFF"/>
                <w:sz w:val="17"/>
                <w:szCs w:val="18"/>
              </w:rPr>
            </w:pPr>
            <w:r w:rsidRPr="00A946E4">
              <w:rPr>
                <w:rFonts w:ascii="Segoe UI" w:eastAsia="Times New Roman" w:hAnsi="Segoe UI" w:cs="Segoe UI"/>
                <w:b/>
                <w:bCs/>
                <w:color w:val="FFFFFF"/>
                <w:sz w:val="17"/>
                <w:szCs w:val="18"/>
              </w:rPr>
              <w:t>Constancias al año</w:t>
            </w:r>
          </w:p>
        </w:tc>
        <w:tc>
          <w:tcPr>
            <w:tcW w:w="125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C8D423D" w14:textId="77777777" w:rsidR="00C3550A" w:rsidRPr="00A946E4" w:rsidRDefault="00C3550A">
            <w:pPr>
              <w:spacing w:before="120" w:after="180"/>
              <w:rPr>
                <w:rFonts w:ascii="Segoe UI" w:eastAsia="Times New Roman" w:hAnsi="Segoe UI" w:cs="Segoe UI"/>
                <w:b/>
                <w:bCs/>
                <w:color w:val="FFFFFF"/>
                <w:sz w:val="17"/>
                <w:szCs w:val="18"/>
              </w:rPr>
            </w:pPr>
            <w:r w:rsidRPr="00A946E4">
              <w:rPr>
                <w:rFonts w:ascii="Segoe UI" w:eastAsia="Times New Roman" w:hAnsi="Segoe UI" w:cs="Segoe UI"/>
                <w:b/>
                <w:bCs/>
                <w:color w:val="FFFFFF"/>
                <w:sz w:val="17"/>
                <w:szCs w:val="18"/>
              </w:rPr>
              <w:t>Costo anual a 14 pesos</w:t>
            </w:r>
          </w:p>
        </w:tc>
        <w:tc>
          <w:tcPr>
            <w:tcW w:w="125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4232E5CB" w14:textId="77777777" w:rsidR="00C3550A" w:rsidRPr="00A946E4" w:rsidRDefault="00C3550A">
            <w:pPr>
              <w:spacing w:before="120" w:after="180"/>
              <w:rPr>
                <w:rFonts w:ascii="Segoe UI" w:eastAsia="Times New Roman" w:hAnsi="Segoe UI" w:cs="Segoe UI"/>
                <w:b/>
                <w:bCs/>
                <w:color w:val="FFFFFF"/>
                <w:sz w:val="17"/>
                <w:szCs w:val="18"/>
              </w:rPr>
            </w:pPr>
            <w:r w:rsidRPr="00A946E4">
              <w:rPr>
                <w:rFonts w:ascii="Segoe UI" w:eastAsia="Times New Roman" w:hAnsi="Segoe UI" w:cs="Segoe UI"/>
                <w:b/>
                <w:bCs/>
                <w:color w:val="FFFFFF"/>
                <w:sz w:val="17"/>
                <w:szCs w:val="18"/>
              </w:rPr>
              <w:t>Costo anual a 90 pesos</w:t>
            </w:r>
          </w:p>
        </w:tc>
      </w:tr>
      <w:tr w:rsidR="00000000" w:rsidRPr="00A946E4" w14:paraId="0F9ADAB7" w14:textId="77777777" w:rsidTr="00A946E4">
        <w:trPr>
          <w:cantSplit/>
        </w:trPr>
        <w:tc>
          <w:tcPr>
            <w:tcW w:w="12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C1AC171"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Una por cada documento firmado</w:t>
            </w:r>
          </w:p>
        </w:tc>
        <w:tc>
          <w:tcPr>
            <w:tcW w:w="12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97BF254"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400</w:t>
            </w:r>
          </w:p>
        </w:tc>
        <w:tc>
          <w:tcPr>
            <w:tcW w:w="12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30C5808"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5,600 pesos</w:t>
            </w:r>
          </w:p>
        </w:tc>
        <w:tc>
          <w:tcPr>
            <w:tcW w:w="12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B9A0ABD"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36,000 pesos</w:t>
            </w:r>
          </w:p>
        </w:tc>
      </w:tr>
      <w:tr w:rsidR="00000000" w:rsidRPr="00A946E4" w14:paraId="00B169FF" w14:textId="77777777" w:rsidTr="00A946E4">
        <w:trPr>
          <w:cantSplit/>
        </w:trPr>
        <w:tc>
          <w:tcPr>
            <w:tcW w:w="12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2C5613E"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Una diaria, sobre el documento que enumera las huellas del día</w:t>
            </w:r>
          </w:p>
        </w:tc>
        <w:tc>
          <w:tcPr>
            <w:tcW w:w="12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9305B4C"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365</w:t>
            </w:r>
          </w:p>
        </w:tc>
        <w:tc>
          <w:tcPr>
            <w:tcW w:w="12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F2B28EF"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5,110 pesos</w:t>
            </w:r>
          </w:p>
        </w:tc>
        <w:tc>
          <w:tcPr>
            <w:tcW w:w="12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5CE26BF"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32,850 pesos</w:t>
            </w:r>
          </w:p>
        </w:tc>
      </w:tr>
      <w:tr w:rsidR="00000000" w:rsidRPr="00A946E4" w14:paraId="346987D0" w14:textId="77777777" w:rsidTr="00A946E4">
        <w:trPr>
          <w:cantSplit/>
        </w:trPr>
        <w:tc>
          <w:tcPr>
            <w:tcW w:w="12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3C11D0"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Una semanal, sobre el documento que enumera las huellas de la semana</w:t>
            </w:r>
          </w:p>
        </w:tc>
        <w:tc>
          <w:tcPr>
            <w:tcW w:w="12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884188D"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52</w:t>
            </w:r>
          </w:p>
        </w:tc>
        <w:tc>
          <w:tcPr>
            <w:tcW w:w="12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EAEC336"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728 pesos</w:t>
            </w:r>
          </w:p>
        </w:tc>
        <w:tc>
          <w:tcPr>
            <w:tcW w:w="12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183B2A8"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4,680 pesos</w:t>
            </w:r>
          </w:p>
        </w:tc>
      </w:tr>
      <w:tr w:rsidR="00000000" w:rsidRPr="00A946E4" w14:paraId="4E288ACB" w14:textId="77777777" w:rsidTr="00A946E4">
        <w:trPr>
          <w:cantSplit/>
        </w:trPr>
        <w:tc>
          <w:tcPr>
            <w:tcW w:w="12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F8BF38E"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Una mensual, sobre el documento que enumera las huellas del mes</w:t>
            </w:r>
          </w:p>
        </w:tc>
        <w:tc>
          <w:tcPr>
            <w:tcW w:w="12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70B6E62"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12</w:t>
            </w:r>
          </w:p>
        </w:tc>
        <w:tc>
          <w:tcPr>
            <w:tcW w:w="12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C967507"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168 pesos</w:t>
            </w:r>
          </w:p>
        </w:tc>
        <w:tc>
          <w:tcPr>
            <w:tcW w:w="12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31455B3" w14:textId="77777777" w:rsidR="00C3550A" w:rsidRPr="00A946E4" w:rsidRDefault="00C3550A">
            <w:pPr>
              <w:spacing w:before="120" w:after="180"/>
              <w:rPr>
                <w:rFonts w:ascii="Segoe UI" w:eastAsia="Times New Roman" w:hAnsi="Segoe UI" w:cs="Segoe UI"/>
                <w:color w:val="1C2333"/>
                <w:sz w:val="17"/>
                <w:szCs w:val="18"/>
              </w:rPr>
            </w:pPr>
            <w:r w:rsidRPr="00A946E4">
              <w:rPr>
                <w:rFonts w:ascii="Segoe UI" w:eastAsia="Times New Roman" w:hAnsi="Segoe UI" w:cs="Segoe UI"/>
                <w:color w:val="1C2333"/>
                <w:sz w:val="17"/>
                <w:szCs w:val="18"/>
              </w:rPr>
              <w:t>1,080 pesos</w:t>
            </w:r>
          </w:p>
        </w:tc>
      </w:tr>
    </w:tbl>
    <w:p w14:paraId="046174A0"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La fórmula es directa: </w:t>
      </w:r>
      <w:r>
        <w:rPr>
          <w:rStyle w:val="Fuerte"/>
          <w:rFonts w:ascii="Segoe UI" w:hAnsi="Segoe UI" w:cs="Segoe UI"/>
          <w:sz w:val="20"/>
          <w:szCs w:val="20"/>
          <w:lang w:val="es-ES"/>
        </w:rPr>
        <w:t>número de constancias al año multiplicado por el precio unitario</w:t>
      </w:r>
      <w:r>
        <w:rPr>
          <w:rFonts w:ascii="Segoe UI" w:hAnsi="Segoe UI" w:cs="Segoe UI"/>
          <w:color w:val="1C2333"/>
          <w:sz w:val="20"/>
          <w:szCs w:val="20"/>
          <w:lang w:val="es-ES"/>
        </w:rPr>
        <w:t>. En la modalidad por documento, el número de constancias es igual al número de firmas, de modo que el costo crece con el volumen. En la modalidad por lote, el número de constancias depende únicamente de la frecuencia elegida, y el volumen de firmas deja de influir en el precio.</w:t>
      </w:r>
    </w:p>
    <w:p w14:paraId="29C3E0AA"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Para dimensionar el handbook conviene multiplicar el número de familias por el número de documentos y por el número de tutores que deben firmar cada uno. Con varios miles de firmas al año, la modalidad por documento se vuelve costosa y la de lote resulta claramente preferible.</w:t>
      </w:r>
    </w:p>
    <w:p w14:paraId="5A8E989F"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Los precios citados provienen de la investigación de mercado del proyecto y no constituyen cotización formal.</w:t>
      </w:r>
    </w:p>
    <w:p w14:paraId="2B81F4D0" w14:textId="77777777" w:rsidR="00C3550A" w:rsidRDefault="00C3550A">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761B2957">
          <v:rect id="_x0000_i1031" style="width:0;height:1.5pt" o:hralign="center" o:hrstd="t" o:hr="t" fillcolor="#a0a0a0" stroked="f"/>
        </w:pict>
      </w:r>
    </w:p>
    <w:p w14:paraId="33999C5D" w14:textId="77777777" w:rsidR="00C3550A" w:rsidRDefault="00C3550A">
      <w:pPr>
        <w:pStyle w:val="Ttulo2"/>
        <w:rPr>
          <w:rFonts w:ascii="Segoe UI" w:eastAsia="Times New Roman" w:hAnsi="Segoe UI" w:cs="Segoe UI"/>
          <w:lang w:val="es-ES"/>
        </w:rPr>
      </w:pPr>
      <w:r>
        <w:rPr>
          <w:rFonts w:ascii="Segoe UI" w:eastAsia="Times New Roman" w:hAnsi="Segoe UI" w:cs="Segoe UI"/>
          <w:lang w:val="es-ES"/>
        </w:rPr>
        <w:t>7. Puntos que requieren definición</w:t>
      </w:r>
    </w:p>
    <w:p w14:paraId="27107C98"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Se enuncian sin proponer respuesta, por ser materia de criterio jurídico e institucional.</w:t>
      </w:r>
    </w:p>
    <w:p w14:paraId="3E88A0C5" w14:textId="77777777" w:rsidR="00C3550A" w:rsidRDefault="00C3550A">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 la firma electrónica simple reforzada, con las dos verificaciones presenciales descritas en el apartado 4, resulta suficiente para el reglamento de acceso vehicular.</w:t>
      </w:r>
    </w:p>
    <w:p w14:paraId="1A8C7F55" w14:textId="77777777" w:rsidR="00C3550A" w:rsidRDefault="00C3550A">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 los documentos del handbook requieren verificación de identidad contra documento oficial, o si basta la atribución por correo registrado con código de un solo uso descrita en el apartado 5.</w:t>
      </w:r>
    </w:p>
    <w:p w14:paraId="1AFDAA96" w14:textId="77777777" w:rsidR="00C3550A" w:rsidRDefault="00C3550A">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 conviene contratar la constancia de conservación y en qué modalidad.</w:t>
      </w:r>
    </w:p>
    <w:p w14:paraId="1085F3A5" w14:textId="77777777" w:rsidR="00C3550A" w:rsidRDefault="00C3550A">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Qué plazo debe conservarse la evidencia de firma y desde qué evento se cuenta. El aviso de privacidad general del Instituto fija cinco años contados a partir de la terminación de la finalidad.</w:t>
      </w:r>
    </w:p>
    <w:p w14:paraId="7DE0A86D" w14:textId="77777777" w:rsidR="00C3550A" w:rsidRDefault="00C3550A">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 la imagen de la firma y sus trazos deben tratarse como dato personal sensible. El aviso general del Instituto los clasifica hoy como dato identificativo, no sensible.</w:t>
      </w:r>
    </w:p>
    <w:p w14:paraId="2EAA533D" w14:textId="77777777" w:rsidR="00C3550A" w:rsidRDefault="00C3550A">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Qué redacción debe tener la cláusula de aceptación electrónica en el reglamento y en los documentos del handbook.</w:t>
      </w:r>
    </w:p>
    <w:p w14:paraId="57480587" w14:textId="77777777" w:rsidR="00C3550A" w:rsidRDefault="00C3550A">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 basta la firma de uno de los padres cuando ambos ejercen la patria potestad, o se requieren las dos, y cómo proceder cuando el sistema escolar registra un solo tutor.</w:t>
      </w:r>
    </w:p>
    <w:p w14:paraId="0108F8FE" w14:textId="77777777" w:rsidR="00C3550A" w:rsidRDefault="00C3550A">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0B0DE1D9">
          <v:rect id="_x0000_i1032" style="width:0;height:1.5pt" o:hralign="center" o:hrstd="t" o:hr="t" fillcolor="#a0a0a0" stroked="f"/>
        </w:pict>
      </w:r>
    </w:p>
    <w:p w14:paraId="5044DFCB" w14:textId="77777777" w:rsidR="00C3550A" w:rsidRDefault="00C3550A">
      <w:pPr>
        <w:pStyle w:val="Ttulo2"/>
        <w:rPr>
          <w:rFonts w:ascii="Segoe UI" w:eastAsia="Times New Roman" w:hAnsi="Segoe UI" w:cs="Segoe UI"/>
          <w:lang w:val="es-ES"/>
        </w:rPr>
      </w:pPr>
      <w:r>
        <w:rPr>
          <w:rFonts w:ascii="Segoe UI" w:eastAsia="Times New Roman" w:hAnsi="Segoe UI" w:cs="Segoe UI"/>
          <w:lang w:val="es-ES"/>
        </w:rPr>
        <w:t>Referencias</w:t>
      </w:r>
    </w:p>
    <w:p w14:paraId="7D4A5F70"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Cámara de Diputados del H. Congreso de la Unión. (2011, 21 de diciembre). </w:t>
      </w:r>
      <w:r>
        <w:rPr>
          <w:rStyle w:val="nfasis"/>
          <w:rFonts w:ascii="Segoe UI" w:hAnsi="Segoe UI" w:cs="Segoe UI"/>
          <w:color w:val="1C2333"/>
          <w:sz w:val="20"/>
          <w:szCs w:val="20"/>
          <w:lang w:val="es-ES"/>
        </w:rPr>
        <w:t>Reglamento de la Ley Federal de Protección de Datos Personales en Posesión de los Particulares</w:t>
      </w:r>
      <w:r>
        <w:rPr>
          <w:rFonts w:ascii="Segoe UI" w:hAnsi="Segoe UI" w:cs="Segoe UI"/>
          <w:color w:val="1C2333"/>
          <w:sz w:val="20"/>
          <w:szCs w:val="20"/>
          <w:lang w:val="es-ES"/>
        </w:rPr>
        <w:t>. Diario Oficial de la Federación. https://w</w:t>
      </w:r>
      <w:r>
        <w:rPr>
          <w:rFonts w:ascii="Segoe UI" w:hAnsi="Segoe UI" w:cs="Segoe UI"/>
          <w:color w:val="1C2333"/>
          <w:sz w:val="20"/>
          <w:szCs w:val="20"/>
          <w:lang w:val="es-ES"/>
        </w:rPr>
        <w:t>ww.diputados.gob.mx/LeyesBiblio/regley/Reg_LFPDPPP.pdf</w:t>
      </w:r>
    </w:p>
    <w:p w14:paraId="293C382F"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Cámara de Diputados del H. Congreso de la Unión. (2023, 7 de junio). </w:t>
      </w:r>
      <w:r>
        <w:rPr>
          <w:rStyle w:val="nfasis"/>
          <w:rFonts w:ascii="Segoe UI" w:hAnsi="Segoe UI" w:cs="Segoe UI"/>
          <w:color w:val="1C2333"/>
          <w:sz w:val="20"/>
          <w:szCs w:val="20"/>
          <w:lang w:val="es-ES"/>
        </w:rPr>
        <w:t>Código Federal de Procedimientos Civiles</w:t>
      </w:r>
      <w:r>
        <w:rPr>
          <w:rFonts w:ascii="Segoe UI" w:hAnsi="Segoe UI" w:cs="Segoe UI"/>
          <w:color w:val="1C2333"/>
          <w:sz w:val="20"/>
          <w:szCs w:val="20"/>
          <w:lang w:val="es-ES"/>
        </w:rPr>
        <w:t xml:space="preserve"> [abrogado por decreto, con vigencia gradual hasta el 1 de abril de 2027]. Diario Oficial de la Federación. https://www.diputados.gob.mx/LeyesBiblio/pdf/CFPC.pdf</w:t>
      </w:r>
    </w:p>
    <w:p w14:paraId="06443D84"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Cámara de Diputados del H. Congreso de la Unión. (2025a, 14 de noviembre). </w:t>
      </w:r>
      <w:r>
        <w:rPr>
          <w:rStyle w:val="nfasis"/>
          <w:rFonts w:ascii="Segoe UI" w:hAnsi="Segoe UI" w:cs="Segoe UI"/>
          <w:color w:val="1C2333"/>
          <w:sz w:val="20"/>
          <w:szCs w:val="20"/>
          <w:lang w:val="es-ES"/>
        </w:rPr>
        <w:t>Código de Comercio</w:t>
      </w:r>
      <w:r>
        <w:rPr>
          <w:rFonts w:ascii="Segoe UI" w:hAnsi="Segoe UI" w:cs="Segoe UI"/>
          <w:color w:val="1C2333"/>
          <w:sz w:val="20"/>
          <w:szCs w:val="20"/>
          <w:lang w:val="es-ES"/>
        </w:rPr>
        <w:t xml:space="preserve"> </w:t>
      </w:r>
      <w:r>
        <w:rPr>
          <w:rFonts w:ascii="Segoe UI" w:hAnsi="Segoe UI" w:cs="Segoe UI"/>
          <w:color w:val="1C2333"/>
          <w:sz w:val="20"/>
          <w:szCs w:val="20"/>
          <w:lang w:val="es-ES"/>
        </w:rPr>
        <w:t>[última reforma]. Diario Oficial de la Federación. https://www.diputados.gob.mx/LeyesBiblio/pdf/CCom.pdf</w:t>
      </w:r>
    </w:p>
    <w:p w14:paraId="02F8ADA6"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Cámara de Diputados del H. Congreso de la Unión. (2025b, 14 de noviembre). </w:t>
      </w:r>
      <w:r>
        <w:rPr>
          <w:rStyle w:val="nfasis"/>
          <w:rFonts w:ascii="Segoe UI" w:hAnsi="Segoe UI" w:cs="Segoe UI"/>
          <w:color w:val="1C2333"/>
          <w:sz w:val="20"/>
          <w:szCs w:val="20"/>
          <w:lang w:val="es-ES"/>
        </w:rPr>
        <w:t>Código Civil Federal</w:t>
      </w:r>
      <w:r>
        <w:rPr>
          <w:rFonts w:ascii="Segoe UI" w:hAnsi="Segoe UI" w:cs="Segoe UI"/>
          <w:color w:val="1C2333"/>
          <w:sz w:val="20"/>
          <w:szCs w:val="20"/>
          <w:lang w:val="es-ES"/>
        </w:rPr>
        <w:t xml:space="preserve"> [última reforma]. Diario Oficial de la Federación. https://www.diputados.gob.mx/LeyesBiblio/pdf/CCF.pdf</w:t>
      </w:r>
    </w:p>
    <w:p w14:paraId="192A71BA"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Cámara de Diputados del H. Congreso de la Unión. (2025c, 14 de noviembre). </w:t>
      </w:r>
      <w:r>
        <w:rPr>
          <w:rStyle w:val="nfasis"/>
          <w:rFonts w:ascii="Segoe UI" w:hAnsi="Segoe UI" w:cs="Segoe UI"/>
          <w:color w:val="1C2333"/>
          <w:sz w:val="20"/>
          <w:szCs w:val="20"/>
          <w:lang w:val="es-ES"/>
        </w:rPr>
        <w:t>Ley de Firma Electrónica Avanzada</w:t>
      </w:r>
      <w:r>
        <w:rPr>
          <w:rFonts w:ascii="Segoe UI" w:hAnsi="Segoe UI" w:cs="Segoe UI"/>
          <w:color w:val="1C2333"/>
          <w:sz w:val="20"/>
          <w:szCs w:val="20"/>
          <w:lang w:val="es-ES"/>
        </w:rPr>
        <w:t xml:space="preserve"> </w:t>
      </w:r>
      <w:r>
        <w:rPr>
          <w:rFonts w:ascii="Segoe UI" w:hAnsi="Segoe UI" w:cs="Segoe UI"/>
          <w:color w:val="1C2333"/>
          <w:sz w:val="20"/>
          <w:szCs w:val="20"/>
          <w:lang w:val="es-ES"/>
        </w:rPr>
        <w:t>[última reforma]. Diario Oficial de la Federación. https://www.diputados.gob.mx/LeyesBiblio/pdf/LFEA.pdf</w:t>
      </w:r>
    </w:p>
    <w:p w14:paraId="0C59BDCC"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Cámara de Diputados del H. Congreso de la Unión. (2025d). </w:t>
      </w:r>
      <w:r>
        <w:rPr>
          <w:rStyle w:val="nfasis"/>
          <w:rFonts w:ascii="Segoe UI" w:hAnsi="Segoe UI" w:cs="Segoe UI"/>
          <w:color w:val="1C2333"/>
          <w:sz w:val="20"/>
          <w:szCs w:val="20"/>
          <w:lang w:val="es-ES"/>
        </w:rPr>
        <w:t>Ley General de los Derechos de Niñas, Niños y Adolescentes</w:t>
      </w:r>
      <w:r>
        <w:rPr>
          <w:rFonts w:ascii="Segoe UI" w:hAnsi="Segoe UI" w:cs="Segoe UI"/>
          <w:color w:val="1C2333"/>
          <w:sz w:val="20"/>
          <w:szCs w:val="20"/>
          <w:lang w:val="es-ES"/>
        </w:rPr>
        <w:t xml:space="preserve"> [texto vigente]. Diario Oficial de la Federación. https://www.diputados.gob.mx/LeyesBiblio/pdf/LGDNNA.pdf</w:t>
      </w:r>
    </w:p>
    <w:p w14:paraId="69D301B1"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Cámara de Diputados del H. Congreso de la Unión. (2025e, 14 de noviembre). </w:t>
      </w:r>
      <w:r>
        <w:rPr>
          <w:rStyle w:val="nfasis"/>
          <w:rFonts w:ascii="Segoe UI" w:hAnsi="Segoe UI" w:cs="Segoe UI"/>
          <w:color w:val="1C2333"/>
          <w:sz w:val="20"/>
          <w:szCs w:val="20"/>
          <w:lang w:val="es-ES"/>
        </w:rPr>
        <w:t>Ley Federal de Protección de Datos Personales en Posesión de los Particulares</w:t>
      </w:r>
      <w:r>
        <w:rPr>
          <w:rFonts w:ascii="Segoe UI" w:hAnsi="Segoe UI" w:cs="Segoe UI"/>
          <w:color w:val="1C2333"/>
          <w:sz w:val="20"/>
          <w:szCs w:val="20"/>
          <w:lang w:val="es-ES"/>
        </w:rPr>
        <w:t xml:space="preserve"> </w:t>
      </w:r>
      <w:r>
        <w:rPr>
          <w:rFonts w:ascii="Segoe UI" w:hAnsi="Segoe UI" w:cs="Segoe UI"/>
          <w:color w:val="1C2333"/>
          <w:sz w:val="20"/>
          <w:szCs w:val="20"/>
          <w:lang w:val="es-ES"/>
        </w:rPr>
        <w:t>[nueva ley publicada el 20 de marzo de 2025; última reforma]. Diario Oficial de la Federación. https://www.diputados.gob.mx/LeyesBiblio/pdf/LFPDPPP.pdf</w:t>
      </w:r>
    </w:p>
    <w:p w14:paraId="5EF4C12F"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Cámara de Diputados del H. Congreso de la Unión. (2026a, 15 de enero). </w:t>
      </w:r>
      <w:r>
        <w:rPr>
          <w:rStyle w:val="nfasis"/>
          <w:rFonts w:ascii="Segoe UI" w:hAnsi="Segoe UI" w:cs="Segoe UI"/>
          <w:color w:val="1C2333"/>
          <w:sz w:val="20"/>
          <w:szCs w:val="20"/>
          <w:lang w:val="es-ES"/>
        </w:rPr>
        <w:t>Código Nacional de Procedimientos Civiles y Familiares</w:t>
      </w:r>
      <w:r>
        <w:rPr>
          <w:rFonts w:ascii="Segoe UI" w:hAnsi="Segoe UI" w:cs="Segoe UI"/>
          <w:color w:val="1C2333"/>
          <w:sz w:val="20"/>
          <w:szCs w:val="20"/>
          <w:lang w:val="es-ES"/>
        </w:rPr>
        <w:t xml:space="preserve"> [última reforma]. Diario Oficial de la Federación. https://www.diputados.gob.mx/LeyesBiblio/pdf/CNPCF.pdf</w:t>
      </w:r>
    </w:p>
    <w:p w14:paraId="6EA418C4"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Cámara de Diputados del H. Congreso de la Unión. (2026b, 9 de abril). </w:t>
      </w:r>
      <w:r>
        <w:rPr>
          <w:rStyle w:val="nfasis"/>
          <w:rFonts w:ascii="Segoe UI" w:hAnsi="Segoe UI" w:cs="Segoe UI"/>
          <w:color w:val="1C2333"/>
          <w:sz w:val="20"/>
          <w:szCs w:val="20"/>
          <w:lang w:val="es-ES"/>
        </w:rPr>
        <w:t>Código Fiscal de la Federación</w:t>
      </w:r>
      <w:r>
        <w:rPr>
          <w:rFonts w:ascii="Segoe UI" w:hAnsi="Segoe UI" w:cs="Segoe UI"/>
          <w:color w:val="1C2333"/>
          <w:sz w:val="20"/>
          <w:szCs w:val="20"/>
          <w:lang w:val="es-ES"/>
        </w:rPr>
        <w:t xml:space="preserve"> </w:t>
      </w:r>
      <w:r>
        <w:rPr>
          <w:rFonts w:ascii="Segoe UI" w:hAnsi="Segoe UI" w:cs="Segoe UI"/>
          <w:color w:val="1C2333"/>
          <w:sz w:val="20"/>
          <w:szCs w:val="20"/>
          <w:lang w:val="es-ES"/>
        </w:rPr>
        <w:t>[última reforma]. Diario Oficial de la Federación. https://www.diputados.gob.mx/LeyesBiblio/pdf/CFF.pdf</w:t>
      </w:r>
    </w:p>
    <w:p w14:paraId="2856F83D" w14:textId="77777777" w:rsidR="00C3550A" w:rsidRDefault="00C3550A">
      <w:pPr>
        <w:pStyle w:val="NormalWeb"/>
        <w:rPr>
          <w:rFonts w:ascii="Segoe UI" w:hAnsi="Segoe UI" w:cs="Segoe UI"/>
          <w:color w:val="1C2333"/>
          <w:sz w:val="20"/>
          <w:szCs w:val="20"/>
          <w:lang w:val="es-ES"/>
        </w:rPr>
      </w:pPr>
      <w:r>
        <w:rPr>
          <w:rStyle w:val="nfasis"/>
          <w:rFonts w:ascii="Segoe UI" w:hAnsi="Segoe UI" w:cs="Segoe UI"/>
          <w:color w:val="1C2333"/>
          <w:sz w:val="20"/>
          <w:szCs w:val="20"/>
          <w:lang w:val="es-ES"/>
        </w:rPr>
        <w:t>Constitución Política de los Estados Unidos Mexicanos</w:t>
      </w:r>
      <w:r>
        <w:rPr>
          <w:rFonts w:ascii="Segoe UI" w:hAnsi="Segoe UI" w:cs="Segoe UI"/>
          <w:color w:val="1C2333"/>
          <w:sz w:val="20"/>
          <w:szCs w:val="20"/>
          <w:lang w:val="es-ES"/>
        </w:rPr>
        <w:t>. (2026). [Texto vigente]. Cámara de Diputados del H. Congreso de la Unión. https://www.diputados.gob.mx/LeyesBiblio/pdf/CPEUM.pdf</w:t>
      </w:r>
    </w:p>
    <w:p w14:paraId="2B7DF854"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Secretaría de Economía. (2017, 30 de marzo). </w:t>
      </w:r>
      <w:r>
        <w:rPr>
          <w:rStyle w:val="nfasis"/>
          <w:rFonts w:ascii="Segoe UI" w:hAnsi="Segoe UI" w:cs="Segoe UI"/>
          <w:color w:val="1C2333"/>
          <w:sz w:val="20"/>
          <w:szCs w:val="20"/>
          <w:lang w:val="es-ES"/>
        </w:rPr>
        <w:t>Norma Oficial Mexicana NOM-151-SCFI-2016, Requisitos que deben observarse para la conservación de mensajes de datos y digitalización de documentos</w:t>
      </w:r>
      <w:r>
        <w:rPr>
          <w:rFonts w:ascii="Segoe UI" w:hAnsi="Segoe UI" w:cs="Segoe UI"/>
          <w:color w:val="1C2333"/>
          <w:sz w:val="20"/>
          <w:szCs w:val="20"/>
          <w:lang w:val="es-ES"/>
        </w:rPr>
        <w:t>. Diario Oficial de la Federación. https://dof.gob.mx/nota_detalle.php?codigo=5478024&amp;fecha=30/03/2017</w:t>
      </w:r>
    </w:p>
    <w:p w14:paraId="1AAC82E3"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Secretaría de Economía. (2026). </w:t>
      </w:r>
      <w:r>
        <w:rPr>
          <w:rStyle w:val="nfasis"/>
          <w:rFonts w:ascii="Segoe UI" w:hAnsi="Segoe UI" w:cs="Segoe UI"/>
          <w:color w:val="1C2333"/>
          <w:sz w:val="20"/>
          <w:szCs w:val="20"/>
          <w:lang w:val="es-ES"/>
        </w:rPr>
        <w:t>Directorio de prestadores de servicios de certificación acreditados</w:t>
      </w:r>
      <w:r>
        <w:rPr>
          <w:rFonts w:ascii="Segoe UI" w:hAnsi="Segoe UI" w:cs="Segoe UI"/>
          <w:color w:val="1C2333"/>
          <w:sz w:val="20"/>
          <w:szCs w:val="20"/>
          <w:lang w:val="es-ES"/>
        </w:rPr>
        <w:t>. https://psc.economia.gob.mx/directorio.html</w:t>
      </w:r>
    </w:p>
    <w:p w14:paraId="6726062B"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Suprema Corte de Justicia de la Nación, Primera Sala. (2019, 24 de mayo). </w:t>
      </w:r>
      <w:r>
        <w:rPr>
          <w:rStyle w:val="nfasis"/>
          <w:rFonts w:ascii="Segoe UI" w:hAnsi="Segoe UI" w:cs="Segoe UI"/>
          <w:color w:val="1C2333"/>
          <w:sz w:val="20"/>
          <w:szCs w:val="20"/>
          <w:lang w:val="es-ES"/>
        </w:rPr>
        <w:t>Jurisprudencia 1a./J. 16/2019 (10a.)</w:t>
      </w:r>
      <w:r>
        <w:rPr>
          <w:rFonts w:ascii="Segoe UI" w:hAnsi="Segoe UI" w:cs="Segoe UI"/>
          <w:color w:val="1C2333"/>
          <w:sz w:val="20"/>
          <w:szCs w:val="20"/>
          <w:lang w:val="es-ES"/>
        </w:rPr>
        <w:t>, registro digital 2019919. Semanario Judicial de la Federación. https://sjf2.scjn.gob.mx/detalle/tesis/2019919</w:t>
      </w:r>
    </w:p>
    <w:p w14:paraId="38C7994E" w14:textId="77777777" w:rsidR="00C3550A" w:rsidRDefault="00C3550A">
      <w:pPr>
        <w:pStyle w:val="Ttulo3"/>
        <w:rPr>
          <w:rFonts w:ascii="Segoe UI" w:eastAsia="Times New Roman" w:hAnsi="Segoe UI" w:cs="Segoe UI"/>
          <w:lang w:val="es-ES"/>
        </w:rPr>
      </w:pPr>
      <w:r>
        <w:rPr>
          <w:rFonts w:ascii="Segoe UI" w:eastAsia="Times New Roman" w:hAnsi="Segoe UI" w:cs="Segoe UI"/>
          <w:lang w:val="es-ES"/>
        </w:rPr>
        <w:t>Nota sobre las citas</w:t>
      </w:r>
    </w:p>
    <w:p w14:paraId="5C511E93"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Se emplea el formato de la American Psychological Association, séptima edición, adaptado a fuentes normativas mexicanas. En el texto, la cita indica el emisor, el año y el artículo preciso. En las referencias, cada entrada remite a la dirección oficial donde puede descargarse el texto vigente, de modo que cualquier afirmación de este documento puede comprobarse de forma independiente.</w:t>
      </w:r>
    </w:p>
    <w:p w14:paraId="2F0ED40E" w14:textId="77777777" w:rsidR="00C3550A" w:rsidRDefault="00C3550A">
      <w:pPr>
        <w:pStyle w:val="NormalWeb"/>
        <w:rPr>
          <w:rFonts w:ascii="Segoe UI" w:hAnsi="Segoe UI" w:cs="Segoe UI"/>
          <w:color w:val="1C2333"/>
          <w:sz w:val="20"/>
          <w:szCs w:val="20"/>
          <w:lang w:val="es-ES"/>
        </w:rPr>
      </w:pPr>
      <w:r>
        <w:rPr>
          <w:rFonts w:ascii="Segoe UI" w:hAnsi="Segoe UI" w:cs="Segoe UI"/>
          <w:color w:val="1C2333"/>
          <w:sz w:val="20"/>
          <w:szCs w:val="20"/>
          <w:lang w:val="es-ES"/>
        </w:rPr>
        <w:t>Los ordenamientos federales se citan en la edición que publica la Cámara de Diputados, que es la versión con las reformas incorporadas. La norma oficial mexicana se cita en su publicación original en el Diario Oficial de la Federación. La jurisprudencia se cita en el Semanario Judicial de la Federación con su registro digital, que es el identificador que permite localizarla.</w:t>
      </w:r>
    </w:p>
    <w:sectPr w:rsidR="00C3550A" w:rsidSect="00A946E4">
      <w:pgSz w:w="12240" w:h="15840"/>
      <w:pgMar w:top="1120" w:right="1120" w:bottom="1120" w:left="11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080439"/>
    <w:multiLevelType w:val="multilevel"/>
    <w:tmpl w:val="70747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C2853DE"/>
    <w:multiLevelType w:val="multilevel"/>
    <w:tmpl w:val="8C46F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83434168">
    <w:abstractNumId w:val="1"/>
  </w:num>
  <w:num w:numId="2" w16cid:durableId="236673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946E4"/>
    <w:rsid w:val="0031642A"/>
    <w:rsid w:val="00A946E4"/>
    <w:rsid w:val="00C3550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CF9F71"/>
  <w15:chartTrackingRefBased/>
  <w15:docId w15:val="{4A9A1BEE-FFDD-4272-968D-1BA13F62F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5" w:color="1F6F4A"/>
      </w:pBdr>
      <w:spacing w:after="150"/>
      <w:outlineLvl w:val="0"/>
    </w:pPr>
    <w:rPr>
      <w:b/>
      <w:bCs/>
      <w:color w:val="101D35"/>
      <w:kern w:val="36"/>
      <w:sz w:val="36"/>
      <w:szCs w:val="36"/>
    </w:rPr>
  </w:style>
  <w:style w:type="paragraph" w:styleId="Ttulo2">
    <w:name w:val="heading 2"/>
    <w:basedOn w:val="Normal"/>
    <w:link w:val="Ttulo2Car"/>
    <w:uiPriority w:val="9"/>
    <w:qFormat/>
    <w:pPr>
      <w:keepNext/>
      <w:pBdr>
        <w:left w:val="single" w:sz="36" w:space="6" w:color="1F6F4A"/>
      </w:pBdr>
      <w:spacing w:before="300" w:after="120"/>
      <w:outlineLvl w:val="1"/>
    </w:pPr>
    <w:rPr>
      <w:b/>
      <w:bCs/>
      <w:color w:val="101D35"/>
      <w:sz w:val="27"/>
      <w:szCs w:val="27"/>
    </w:rPr>
  </w:style>
  <w:style w:type="paragraph" w:styleId="Ttulo3">
    <w:name w:val="heading 3"/>
    <w:basedOn w:val="Normal"/>
    <w:link w:val="Ttulo3Car"/>
    <w:uiPriority w:val="9"/>
    <w:qFormat/>
    <w:pPr>
      <w:keepNext/>
      <w:spacing w:before="210" w:after="90"/>
      <w:outlineLvl w:val="2"/>
    </w:pPr>
    <w:rPr>
      <w:b/>
      <w:bCs/>
      <w:color w:val="1F6F4A"/>
      <w:sz w:val="23"/>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18"/>
      <w:szCs w:val="18"/>
      <w:shd w:val="clear" w:color="auto" w:fill="EEF1F5"/>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2F5496" w:themeColor="accent1" w:themeShade="BF"/>
      <w:sz w:val="28"/>
      <w:szCs w:val="28"/>
    </w:rPr>
  </w:style>
  <w:style w:type="character" w:styleId="Fuerte">
    <w:name w:val="Strong"/>
    <w:basedOn w:val="Fuentedeprrafopredeter"/>
    <w:uiPriority w:val="22"/>
    <w:qFormat/>
    <w:rPr>
      <w:b/>
      <w:bCs/>
      <w:color w:val="101D35"/>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character" w:styleId="nfasis">
    <w:name w:val="Emphasis"/>
    <w:basedOn w:val="Fuentedeprrafopredeter"/>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3845</Words>
  <Characters>21152</Characters>
  <Application>Microsoft Office Word</Application>
  <DocSecurity>4</DocSecurity>
  <Lines>176</Lines>
  <Paragraphs>49</Paragraphs>
  <ScaleCrop>false</ScaleCrop>
  <Company/>
  <LinksUpToDate>false</LinksUpToDate>
  <CharactersWithSpaces>24948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E6 - Fundamento legal y confiabilidad de la firma electronica</dc:title>
  <dc:subject/>
  <dc:creator>Diego Gerardo Sánchez Moreno</dc:creator>
  <cp:keywords/>
  <dc:description/>
  <cp:lastModifiedBy>Diego Gerardo Sánchez Moreno</cp:lastModifiedBy>
  <cp:revision>2</cp:revision>
  <dcterms:created xsi:type="dcterms:W3CDTF">2026-09-10T16:51:00Z</dcterms:created>
  <dcterms:modified xsi:type="dcterms:W3CDTF">2026-09-10T16:51:00Z</dcterms:modified>
</cp:coreProperties>
</file>