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906C" w14:textId="77777777" w:rsidR="00BE1E26" w:rsidRDefault="00BE1E26">
      <w:pPr>
        <w:pStyle w:val="Ttulo1"/>
        <w:rPr>
          <w:rFonts w:ascii="Segoe UI" w:eastAsia="Times New Roman" w:hAnsi="Segoe UI" w:cs="Segoe UI"/>
          <w:lang w:val="es-ES"/>
        </w:rPr>
      </w:pPr>
      <w:r>
        <w:rPr>
          <w:rFonts w:ascii="Segoe UI" w:eastAsia="Times New Roman" w:hAnsi="Segoe UI" w:cs="Segoe UI"/>
          <w:lang w:val="es-ES"/>
        </w:rPr>
        <w:t>Fundamento legal y confiabilidad de la firma electrónica</w:t>
      </w:r>
    </w:p>
    <w:p w14:paraId="0FFE54A8"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Análisis aplicado a dos casos del Instituto Asunción de Querétaro, A.C.: el reglamento de acceso vehicular (SATAG) y los documentos del handbook</w:t>
      </w:r>
    </w:p>
    <w:p w14:paraId="2B026735"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Instituto Asunción de Querétaro, A.C. · Área de Sistemas Querétaro, 11 de septiembre de 2026</w:t>
      </w:r>
    </w:p>
    <w:p w14:paraId="163E1C3F"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70C062F0">
          <v:rect id="_x0000_i1025" style="width:0;height:1.5pt" o:hralign="center" o:hrstd="t" o:hr="t" fillcolor="#a0a0a0" stroked="f"/>
        </w:pict>
      </w:r>
    </w:p>
    <w:p w14:paraId="67CE5502"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1. Propósito</w:t>
      </w:r>
    </w:p>
    <w:p w14:paraId="71A00970"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Este documento reúne el fundamento jurídico de la firma electrónica en México y lo contrasta con el mecanismo que el Instituto ya opera, para responder una pregunta concreta: si la firma que se recaba en pantalla sirve como prueba y bajo qué condiciones.</w:t>
      </w:r>
    </w:p>
    <w:p w14:paraId="2396F41E"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Se examinan dos casos distintos. El primero es el reglamento de acceso vehicular, que hoy se acepta en el sistema SATAG y cuyo trámite se completa en persona. El segundo son los documentos del handbook que las familias firman al inscribir, que se firmarían a distancia y por ambos tutores. Las condiciones jurídicas de uno y otro no son las mismas, y el documento explica por qué.</w:t>
      </w:r>
    </w:p>
    <w:p w14:paraId="711FE20F"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Todas las afirmaciones normativas llevan cita en el texto y su referencia completa al final, con la dirección oficial donde puede consultarse el texto vigente. Los textos se cotejaron contra las fuentes oficiales los días 9 y 10 de septiembre de 2026.</w:t>
      </w:r>
    </w:p>
    <w:p w14:paraId="6F305E5F"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Este documento no constituye una opinión jurídica. Reúne el material normativo y la descripción técnica verificable para que el área legal formule la suya.</w:t>
      </w:r>
    </w:p>
    <w:p w14:paraId="2DA14558"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1FA07CDD">
          <v:rect id="_x0000_i1026" style="width:0;height:1.5pt" o:hralign="center" o:hrstd="t" o:hr="t" fillcolor="#a0a0a0" stroked="f"/>
        </w:pict>
      </w:r>
    </w:p>
    <w:p w14:paraId="1EEE0AED"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2. Marco jurídico aplicable</w:t>
      </w:r>
    </w:p>
    <w:p w14:paraId="2D25E44A"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2.1 La naturaleza del acto determina qué ley rige</w:t>
      </w:r>
    </w:p>
    <w:p w14:paraId="21B3BB95"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Instituto es una asociación civil y la aceptación de un reglamento interno de acceso vehicular no persigue especulación comercial, de modo que no encuadra en los actos de comercio que enumera el artículo 75 del Código de Comercio (Cámara de Diputados, 2025a, art. 75, fr. I). El acto es de naturaleza civil.</w:t>
      </w:r>
    </w:p>
    <w:p w14:paraId="07300EA9"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La distinción importa porque los ordenamientos civil y mercantil tratan la firma electrónica con reglas propias. Sin embargo, ambos convergen en el mismo criterio de fondo, que es la fiabilidad del método, como se explica en el apartado 2.3. Por esa razón el Código de Comercio se cita en este documento como estándar de referencia, aunque el acto sea civil.</w:t>
      </w:r>
    </w:p>
    <w:p w14:paraId="59AF2077"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2.2 La firma electrónica simple es válida entre particulares</w:t>
      </w:r>
    </w:p>
    <w:p w14:paraId="2E7D627A"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Cuatro disposiciones sostienen la validez.</w:t>
      </w:r>
    </w:p>
    <w:p w14:paraId="1B37B5B8"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w:t>
      </w:r>
      <w:r>
        <w:rPr>
          <w:rStyle w:val="Fuerte"/>
          <w:rFonts w:ascii="Segoe UI" w:hAnsi="Segoe UI" w:cs="Segoe UI"/>
          <w:sz w:val="20"/>
          <w:szCs w:val="20"/>
          <w:lang w:val="es-ES"/>
        </w:rPr>
        <w:t>Código Civil Federal</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reconoce que el consentimiento es expreso cuando la voluntad se manifiesta por medios electrónicos, ópticos o por cualquier otra tecnología (Cámara de Diputados, 2025b, art. 1803, fr. I). Y establece que los supuestos de forma escrita se tienen por cumplidos por esos mismos medios, siempre que la información sea íntegra, atribuible a las personas obligadas y accesible para su ulterior consulta (Cámara de Diputados, 2025b, art. 1834 bis). Esos tres requisitos son la columna vertebral de todo lo que sigue: </w:t>
      </w:r>
      <w:r>
        <w:rPr>
          <w:rStyle w:val="Fuerte"/>
          <w:rFonts w:ascii="Segoe UI" w:hAnsi="Segoe UI" w:cs="Segoe UI"/>
          <w:sz w:val="20"/>
          <w:szCs w:val="20"/>
          <w:lang w:val="es-ES"/>
        </w:rPr>
        <w:t>integridad, atribución y accesibilidad</w:t>
      </w:r>
      <w:r>
        <w:rPr>
          <w:rFonts w:ascii="Segoe UI" w:hAnsi="Segoe UI" w:cs="Segoe UI"/>
          <w:color w:val="1C2333"/>
          <w:sz w:val="20"/>
          <w:szCs w:val="20"/>
          <w:lang w:val="es-ES"/>
        </w:rPr>
        <w:t>.</w:t>
      </w:r>
    </w:p>
    <w:p w14:paraId="43430DB0"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w:t>
      </w:r>
      <w:r>
        <w:rPr>
          <w:rStyle w:val="Fuerte"/>
          <w:rFonts w:ascii="Segoe UI" w:hAnsi="Segoe UI" w:cs="Segoe UI"/>
          <w:sz w:val="20"/>
          <w:szCs w:val="20"/>
          <w:lang w:val="es-ES"/>
        </w:rPr>
        <w:t>Código Nacional de Procedimientos Civiles y Familiares</w:t>
      </w:r>
      <w:r>
        <w:rPr>
          <w:rFonts w:ascii="Segoe UI" w:hAnsi="Segoe UI" w:cs="Segoe UI"/>
          <w:color w:val="1C2333"/>
          <w:sz w:val="20"/>
          <w:szCs w:val="20"/>
          <w:lang w:val="es-ES"/>
        </w:rPr>
        <w:t xml:space="preserve"> </w:t>
      </w:r>
      <w:r>
        <w:rPr>
          <w:rFonts w:ascii="Segoe UI" w:hAnsi="Segoe UI" w:cs="Segoe UI"/>
          <w:color w:val="1C2333"/>
          <w:sz w:val="20"/>
          <w:szCs w:val="20"/>
          <w:lang w:val="es-ES"/>
        </w:rPr>
        <w:t xml:space="preserve">define la firma electrónica simple como los datos consignados en un mensaje que se usan para identificar al firmante e indicar que aprueba la información, y </w:t>
      </w:r>
      <w:r>
        <w:rPr>
          <w:rFonts w:ascii="Segoe UI" w:hAnsi="Segoe UI" w:cs="Segoe UI"/>
          <w:color w:val="1C2333"/>
          <w:sz w:val="20"/>
          <w:szCs w:val="20"/>
          <w:lang w:val="es-ES"/>
        </w:rPr>
        <w:lastRenderedPageBreak/>
        <w:t>añade que produce los mismos efectos jurídicos que la firma autógrafa y es admisible como prueba en juicio (Cámara de Diputados, 2026, art. 2, fr. XXI). El mismo ordenamiento dispone que las pruebas documentales físicas y electrónicas reciben el mismo trato, bajo los principios de equivalencia funcional y neutralidad tecnológica (Cámara de Diputados, 20</w:t>
      </w:r>
      <w:r>
        <w:rPr>
          <w:rFonts w:ascii="Segoe UI" w:hAnsi="Segoe UI" w:cs="Segoe UI"/>
          <w:color w:val="1C2333"/>
          <w:sz w:val="20"/>
          <w:szCs w:val="20"/>
          <w:lang w:val="es-ES"/>
        </w:rPr>
        <w:t>26, art. 308).</w:t>
      </w:r>
    </w:p>
    <w:p w14:paraId="7E70FB77"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w:t>
      </w:r>
      <w:r>
        <w:rPr>
          <w:rStyle w:val="Fuerte"/>
          <w:rFonts w:ascii="Segoe UI" w:hAnsi="Segoe UI" w:cs="Segoe UI"/>
          <w:sz w:val="20"/>
          <w:szCs w:val="20"/>
          <w:lang w:val="es-ES"/>
        </w:rPr>
        <w:t>Código de Comercio</w:t>
      </w:r>
      <w:r>
        <w:rPr>
          <w:rFonts w:ascii="Segoe UI" w:hAnsi="Segoe UI" w:cs="Segoe UI"/>
          <w:color w:val="1C2333"/>
          <w:sz w:val="20"/>
          <w:szCs w:val="20"/>
          <w:lang w:val="es-ES"/>
        </w:rPr>
        <w:t xml:space="preserve"> prohíbe negar efectos jurídicos, validez o fuerza obligatoria a la información por el solo hecho de estar contenida en un mensaje de datos (Cámara de Diputados, 2025a, art. 89 bis), y precisa que cuando la ley exige forma escrita el requisito se cumple con un mensaje de datos íntegro y accesible, y que cuando además exige firma, se cumple si el mensaje es atribuible a las partes (Cámara de Diputados, 2025a, art. 93).</w:t>
      </w:r>
    </w:p>
    <w:p w14:paraId="4F6BFEF6"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En materia de datos personales, el </w:t>
      </w:r>
      <w:r>
        <w:rPr>
          <w:rStyle w:val="Fuerte"/>
          <w:rFonts w:ascii="Segoe UI" w:hAnsi="Segoe UI" w:cs="Segoe UI"/>
          <w:sz w:val="20"/>
          <w:szCs w:val="20"/>
          <w:lang w:val="es-ES"/>
        </w:rPr>
        <w:t>Reglamento de la Ley Federal de Protección de Datos Personales en Posesión de los Particulares</w:t>
      </w:r>
      <w:r>
        <w:rPr>
          <w:rFonts w:ascii="Segoe UI" w:hAnsi="Segoe UI" w:cs="Segoe UI"/>
          <w:color w:val="1C2333"/>
          <w:sz w:val="20"/>
          <w:szCs w:val="20"/>
          <w:lang w:val="es-ES"/>
        </w:rPr>
        <w:t xml:space="preserve"> es explícito: tratándose del entorno digital, para recabar el consentimiento expreso por escrito «podrán utilizarse firma electrónica o cualquier mecanismo o procedimiento que al efecto se establezca y permita identificar al titular y recabar su consentimiento» (Cámara de Diputados, 2011, art. 19).</w:t>
      </w:r>
    </w:p>
    <w:p w14:paraId="7D211195"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2.3 El criterio de valoración es la fiabilidad del método</w:t>
      </w:r>
    </w:p>
    <w:p w14:paraId="78AC88BF"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Ninguna de esas normas concede validez automática. Todas remiten al mismo estándar.</w:t>
      </w:r>
    </w:p>
    <w:p w14:paraId="0E06FEE7"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Código Nacional dispone que para valorar la fuerza probatoria de la información electrónica «se estimará primordialmente la fiabilidad del método» con que fue generada, comunicada, recibida o archivada y, en su caso, si es posible atribuir su contenido a las personas obligadas y si es accesible para su ulterior consulta (Cámara de Diputados, 2026, art. 349). Añade que cuando la ley requiera conservar un documento en su forma original, el requisito se satisface si se acredita que la información se mantuvo</w:t>
      </w:r>
      <w:r>
        <w:rPr>
          <w:rFonts w:ascii="Segoe UI" w:hAnsi="Segoe UI" w:cs="Segoe UI"/>
          <w:color w:val="1C2333"/>
          <w:sz w:val="20"/>
          <w:szCs w:val="20"/>
          <w:lang w:val="es-ES"/>
        </w:rPr>
        <w:t xml:space="preserve"> íntegra e inalterada desde que se generó por primera vez en forma definitiva (Cámara de Diputados, 2026, art. 350).</w:t>
      </w:r>
    </w:p>
    <w:p w14:paraId="3D6D8C9B"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Código Federal de Procedimientos Civiles contiene la misma regla en su artículo 210-A (Cámara de Diputados, 2023, art. 210-A). Ese ordenamiento fue abrogado por decreto, pero sigue aplicándose donde el Código Nacional aún no entra en vigor, con un plazo máximo que vence el 1 de abril de 2027 (Cámara de Diputados, 2023, transitorios). El diseño probatorio descrito en este documento funciona bajo ambos regímenes, porque los dos valoran lo mismo.</w:t>
      </w:r>
    </w:p>
    <w:p w14:paraId="2EB7E1FD"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Código de Comercio recoge idéntico criterio para los mensajes de datos (Cámara de Diputados, 2025a, art. 1298-A) y detalla cuándo una firma se considera avanzada o fiable: cuando los datos de creación corresponden exclusivamente al firmante, estaban bajo su control exclusivo al momento de firmar, y es posible detectar cualquier alteración posterior (Cámara de Diputados, 2025a, art. 97).</w:t>
      </w:r>
    </w:p>
    <w:p w14:paraId="5F656BEB"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2.4 La Suprema Corte fijó quién debe probar la fiabilidad</w:t>
      </w:r>
    </w:p>
    <w:p w14:paraId="50E9FB60"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Primera Sala resolvió que una operación autenticada con un número de identificación personal se considera realizada mediante firma electrónica del cuentahabiente. Y estableció una regla de carga probatoria que es la más relevante para el Instituto: cuando el usuario niega haber realizado la operación, </w:t>
      </w:r>
      <w:r>
        <w:rPr>
          <w:rStyle w:val="Fuerte"/>
          <w:rFonts w:ascii="Segoe UI" w:hAnsi="Segoe UI" w:cs="Segoe UI"/>
          <w:sz w:val="20"/>
          <w:szCs w:val="20"/>
          <w:lang w:val="es-ES"/>
        </w:rPr>
        <w:t>corresponde a quien opera el sistema demostrar los procedimientos de identificación empleados y que cumplen los requisitos de fiabilidad</w:t>
      </w:r>
      <w:r>
        <w:rPr>
          <w:rFonts w:ascii="Segoe UI" w:hAnsi="Segoe UI" w:cs="Segoe UI"/>
          <w:color w:val="1C2333"/>
          <w:sz w:val="20"/>
          <w:szCs w:val="20"/>
          <w:lang w:val="es-ES"/>
        </w:rPr>
        <w:t>; solo acreditado eso, la carga se revierte al usuario (Suprema Corte de Justicia de la Nación, 2019).</w:t>
      </w:r>
    </w:p>
    <w:p w14:paraId="3B5D6605"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criterio no exige certificados ni proveedores externos. Exige que la organización pueda reconstruir y explicar su método. Ese es exactamente el propósito del apartado 3 de este documento.</w:t>
      </w:r>
    </w:p>
    <w:p w14:paraId="091FA6FC"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2.5 Lo que no resulta aplicable</w:t>
      </w:r>
    </w:p>
    <w:p w14:paraId="1E55CADF"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Conviene descartar expresamente dos exigencias que suelen suponerse.</w:t>
      </w:r>
    </w:p>
    <w:p w14:paraId="5C547EC3"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w:t>
      </w:r>
      <w:r>
        <w:rPr>
          <w:rStyle w:val="Fuerte"/>
          <w:rFonts w:ascii="Segoe UI" w:hAnsi="Segoe UI" w:cs="Segoe UI"/>
          <w:sz w:val="20"/>
          <w:szCs w:val="20"/>
          <w:lang w:val="es-ES"/>
        </w:rPr>
        <w:t>Ley de Firma Electrónica Avanzada</w:t>
      </w:r>
      <w:r>
        <w:rPr>
          <w:rFonts w:ascii="Segoe UI" w:hAnsi="Segoe UI" w:cs="Segoe UI"/>
          <w:color w:val="1C2333"/>
          <w:sz w:val="20"/>
          <w:szCs w:val="20"/>
          <w:lang w:val="es-ES"/>
        </w:rPr>
        <w:t xml:space="preserve"> </w:t>
      </w:r>
      <w:r>
        <w:rPr>
          <w:rFonts w:ascii="Segoe UI" w:hAnsi="Segoe UI" w:cs="Segoe UI"/>
          <w:color w:val="1C2333"/>
          <w:sz w:val="20"/>
          <w:szCs w:val="20"/>
          <w:lang w:val="es-ES"/>
        </w:rPr>
        <w:t>regula el uso de esa firma en los actos previstos en ella, y sus sujetos son las dependencias y entidades de la Administración Pública Federal, sus servidores públicos y los particulares únicamente cuando la utilizan en términos de esa ley (Cámara de Diputados, 2025c, arts. 1 y 3). No impone la firma avanzada a los actos entre particulares.</w:t>
      </w:r>
    </w:p>
    <w:p w14:paraId="308FF00F"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lastRenderedPageBreak/>
        <w:t xml:space="preserve">La </w:t>
      </w:r>
      <w:r>
        <w:rPr>
          <w:rStyle w:val="Fuerte"/>
          <w:rFonts w:ascii="Segoe UI" w:hAnsi="Segoe UI" w:cs="Segoe UI"/>
          <w:sz w:val="20"/>
          <w:szCs w:val="20"/>
          <w:lang w:val="es-ES"/>
        </w:rPr>
        <w:t>e.firma del Servicio de Administración Tributaria</w:t>
      </w:r>
      <w:r>
        <w:rPr>
          <w:rFonts w:ascii="Segoe UI" w:hAnsi="Segoe UI" w:cs="Segoe UI"/>
          <w:color w:val="1C2333"/>
          <w:sz w:val="20"/>
          <w:szCs w:val="20"/>
          <w:lang w:val="es-ES"/>
        </w:rPr>
        <w:t xml:space="preserve"> </w:t>
      </w:r>
      <w:r>
        <w:rPr>
          <w:rFonts w:ascii="Segoe UI" w:hAnsi="Segoe UI" w:cs="Segoe UI"/>
          <w:color w:val="1C2333"/>
          <w:sz w:val="20"/>
          <w:szCs w:val="20"/>
          <w:lang w:val="es-ES"/>
        </w:rPr>
        <w:t>tiene fundamento en el Código Fiscal de la Federación y su ámbito es fiscal: aplica cuando las disposiciones fiscales obligan a presentar documentos digitales (Cámara de Diputados, 2026b, art. 17-D). Exigirla a las familias para aceptar un reglamento escolar carecería de fundamento y sería, en la práctica, inviable.</w:t>
      </w:r>
    </w:p>
    <w:p w14:paraId="1CF93489"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2.6 Conservación: la NOM-151 y a quién obliga</w:t>
      </w:r>
    </w:p>
    <w:p w14:paraId="1F613161"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Existe una norma oficial que regula las constancias de conservación de mensajes de datos. Su campo de aplicación es explícito: es «de observancia general para los comerciantes» que conforme al Código de Comercio deben conservar mensajes de datos (Secretaría de Economía, 2017, numeral 2). </w:t>
      </w:r>
      <w:r>
        <w:rPr>
          <w:rStyle w:val="Fuerte"/>
          <w:rFonts w:ascii="Segoe UI" w:hAnsi="Segoe UI" w:cs="Segoe UI"/>
          <w:sz w:val="20"/>
          <w:szCs w:val="20"/>
          <w:lang w:val="es-ES"/>
        </w:rPr>
        <w:t>El Instituto es una asociación civil y el acto analizado no es mercantil, de modo que la norma no lo obliga.</w:t>
      </w:r>
    </w:p>
    <w:p w14:paraId="6EB02642"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Adoptarla es una decisión de robustez probatoria, no de cumplimiento. Lo que aporta se describe en el apartado 6.</w:t>
      </w:r>
    </w:p>
    <w:p w14:paraId="76B8B1E0"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6AE2DE82">
          <v:rect id="_x0000_i1027" style="width:0;height:1.5pt" o:hralign="center" o:hrstd="t" o:hr="t" fillcolor="#a0a0a0" stroked="f"/>
        </w:pict>
      </w:r>
    </w:p>
    <w:p w14:paraId="268CE0FA"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3. Confiabilidad del mecanismo: qué evidencia produce el sistema</w:t>
      </w:r>
    </w:p>
    <w:p w14:paraId="059FA161"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Este apartado responde a la exigencia del criterio de la Suprema Corte. Describe el método con el detalle necesario para que pueda ser explicado y demostrado.</w:t>
      </w:r>
    </w:p>
    <w:p w14:paraId="57FEAF73"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3.1 Qué ocurre cuando alguien firma</w:t>
      </w:r>
    </w:p>
    <w:p w14:paraId="609DA4DE"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La persona lee el reglamento y el aviso de privacidad completos en la pantalla. La casilla de aceptación permanece deshabilitada hasta que el texto se ha desplazado hasta el final, de modo que no es posible aceptar sin haber recorrido el documento. Después escribe su nombre y dibuja su firma con el dedo o con el cursor.</w:t>
      </w:r>
    </w:p>
    <w:p w14:paraId="1ACACD8A"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Al enviar, ocurren dos cosas. El navegador convierte el trazo en una imagen, calcula su huella digital y la sube a un almacenamiento privado con un nombre aleatorio. Y el servidor, en una sola operación que no admite resultados parciales, crea el expediente, anota el movimiento en la bitácora y registra la aceptación.</w:t>
      </w:r>
    </w:p>
    <w:p w14:paraId="713BE865"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3.2 Los ocho elementos que quedan guardados</w:t>
      </w:r>
    </w:p>
    <w:p w14:paraId="224F4C8D"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imagen de la firma</w:t>
      </w:r>
      <w:r>
        <w:rPr>
          <w:rFonts w:ascii="Segoe UI" w:eastAsia="Times New Roman" w:hAnsi="Segoe UI" w:cs="Segoe UI"/>
          <w:color w:val="1C2333"/>
          <w:sz w:val="20"/>
          <w:szCs w:val="20"/>
          <w:lang w:val="es-ES"/>
        </w:rPr>
        <w:t>, en un almacenamiento privado sin direcciones públicas. Una imagen nunca sobrescribe a otra. Para verla hace falta una sesión autorizada, y el sistema emite un enlace que caduca a los sesenta segundos.</w:t>
      </w:r>
    </w:p>
    <w:p w14:paraId="57387964"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huella digital de esa imagen</w:t>
      </w:r>
      <w:r>
        <w:rPr>
          <w:rFonts w:ascii="Segoe UI" w:eastAsia="Times New Roman" w:hAnsi="Segoe UI" w:cs="Segoe UI"/>
          <w:color w:val="1C2333"/>
          <w:sz w:val="20"/>
          <w:szCs w:val="20"/>
          <w:lang w:val="es-ES"/>
        </w:rPr>
        <w:t>, un código de 64 caracteres que cambia por completo si se modifica un solo píxel.</w:t>
      </w:r>
    </w:p>
    <w:p w14:paraId="2C95C5B3"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trazo vectorial</w:t>
      </w:r>
      <w:r>
        <w:rPr>
          <w:rFonts w:ascii="Segoe UI" w:eastAsia="Times New Roman" w:hAnsi="Segoe UI" w:cs="Segoe UI"/>
          <w:color w:val="1C2333"/>
          <w:sz w:val="20"/>
          <w:szCs w:val="20"/>
          <w:lang w:val="es-ES"/>
        </w:rPr>
        <w:t>, es decir, cada punto del recorrido con su posición, el tiempo transcurrido y la presión. Permite reproducir cómo se dibujó la firma y distinguirla de una imagen pegada.</w:t>
      </w:r>
    </w:p>
    <w:p w14:paraId="08CE2BBD"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versión exacta del reglamento</w:t>
      </w:r>
      <w:r>
        <w:rPr>
          <w:rFonts w:ascii="Segoe UI" w:eastAsia="Times New Roman" w:hAnsi="Segoe UI" w:cs="Segoe UI"/>
          <w:color w:val="1C2333"/>
          <w:sz w:val="20"/>
          <w:szCs w:val="20"/>
          <w:lang w:val="es-ES"/>
        </w:rPr>
        <w:t xml:space="preserve"> que la persona leyó, junto con la huella digital de su texto completo. Si el reglamento cambia después, la aceptación sigue apuntando al texto que se mostró.</w:t>
      </w:r>
    </w:p>
    <w:p w14:paraId="68709E9D"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versión exacta del aviso de privacidad</w:t>
      </w:r>
      <w:r>
        <w:rPr>
          <w:rFonts w:ascii="Segoe UI" w:eastAsia="Times New Roman" w:hAnsi="Segoe UI" w:cs="Segoe UI"/>
          <w:color w:val="1C2333"/>
          <w:sz w:val="20"/>
          <w:szCs w:val="20"/>
          <w:lang w:val="es-ES"/>
        </w:rPr>
        <w:t>, con el mismo tratamiento.</w:t>
      </w:r>
    </w:p>
    <w:p w14:paraId="4381ECA3"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El sello de tiempo</w:t>
      </w:r>
      <w:r>
        <w:rPr>
          <w:rFonts w:ascii="Segoe UI" w:eastAsia="Times New Roman" w:hAnsi="Segoe UI" w:cs="Segoe UI"/>
          <w:color w:val="1C2333"/>
          <w:sz w:val="20"/>
          <w:szCs w:val="20"/>
          <w:lang w:val="es-ES"/>
        </w:rPr>
        <w:t>, tomado del reloj del servidor y no del dispositivo de quien firma.</w:t>
      </w:r>
    </w:p>
    <w:p w14:paraId="6A600FDD"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dirección de red y el navegador de origen</w:t>
      </w:r>
      <w:r>
        <w:rPr>
          <w:rFonts w:ascii="Segoe UI" w:eastAsia="Times New Roman" w:hAnsi="Segoe UI" w:cs="Segoe UI"/>
          <w:color w:val="1C2333"/>
          <w:sz w:val="20"/>
          <w:szCs w:val="20"/>
          <w:lang w:val="es-ES"/>
        </w:rPr>
        <w:t>, leídos por el servidor de la propia petición, no declarados por el cliente.</w:t>
      </w:r>
    </w:p>
    <w:p w14:paraId="024D8BA6" w14:textId="77777777" w:rsidR="00BE1E26" w:rsidRDefault="00BE1E26">
      <w:pPr>
        <w:numPr>
          <w:ilvl w:val="0"/>
          <w:numId w:val="1"/>
        </w:numPr>
        <w:spacing w:before="45" w:after="45"/>
        <w:ind w:left="1050"/>
        <w:rPr>
          <w:rFonts w:ascii="Segoe UI" w:eastAsia="Times New Roman" w:hAnsi="Segoe UI" w:cs="Segoe UI"/>
          <w:color w:val="1C2333"/>
          <w:sz w:val="20"/>
          <w:szCs w:val="20"/>
          <w:lang w:val="es-ES"/>
        </w:rPr>
      </w:pPr>
      <w:r>
        <w:rPr>
          <w:rStyle w:val="Fuerte"/>
          <w:rFonts w:ascii="Segoe UI" w:eastAsia="Times New Roman" w:hAnsi="Segoe UI" w:cs="Segoe UI"/>
          <w:sz w:val="20"/>
          <w:szCs w:val="20"/>
          <w:lang w:val="es-ES"/>
        </w:rPr>
        <w:t>La huella digital del conjunto completo</w:t>
      </w:r>
      <w:r>
        <w:rPr>
          <w:rFonts w:ascii="Segoe UI" w:eastAsia="Times New Roman" w:hAnsi="Segoe UI" w:cs="Segoe UI"/>
          <w:color w:val="1C2333"/>
          <w:sz w:val="20"/>
          <w:szCs w:val="20"/>
          <w:lang w:val="es-ES"/>
        </w:rPr>
        <w:t>, calculada sobre un paquete que reúne los datos del expediente, las dos versiones de los documentos con sus huellas, la firma con la suya, el nombre y el rol del firmante y las circunstancias del envío.</w:t>
      </w:r>
    </w:p>
    <w:p w14:paraId="73F3042B"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Además, el titular obtiene al terminar una copia del trámite con el texto íntegro de lo que aceptó, que puede imprimir o guardar.</w:t>
      </w:r>
    </w:p>
    <w:p w14:paraId="4CF3CD8C"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lastRenderedPageBreak/>
        <w:t>3.3 Cómo cada requisito legal queda cubierto</w:t>
      </w:r>
    </w:p>
    <w:tbl>
      <w:tblPr>
        <w:tblW w:w="5000" w:type="pct"/>
        <w:tblCellMar>
          <w:top w:w="15" w:type="dxa"/>
          <w:left w:w="15" w:type="dxa"/>
          <w:bottom w:w="15" w:type="dxa"/>
          <w:right w:w="15" w:type="dxa"/>
        </w:tblCellMar>
        <w:tblLook w:val="04A0" w:firstRow="1" w:lastRow="0" w:firstColumn="1" w:lastColumn="0" w:noHBand="0" w:noVBand="1"/>
      </w:tblPr>
      <w:tblGrid>
        <w:gridCol w:w="2656"/>
        <w:gridCol w:w="1841"/>
        <w:gridCol w:w="5487"/>
      </w:tblGrid>
      <w:tr w:rsidR="00000000" w:rsidRPr="00482F67" w14:paraId="11BE6FA8" w14:textId="77777777" w:rsidTr="00482F67">
        <w:trPr>
          <w:cantSplit/>
          <w:tblHeader/>
        </w:trPr>
        <w:tc>
          <w:tcPr>
            <w:tcW w:w="133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021623B"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Requisito legal</w:t>
            </w:r>
          </w:p>
        </w:tc>
        <w:tc>
          <w:tcPr>
            <w:tcW w:w="922"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BC23A43"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Fundamento</w:t>
            </w:r>
          </w:p>
        </w:tc>
        <w:tc>
          <w:tcPr>
            <w:tcW w:w="2748"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5420B75"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Cómo lo satisface el mecanismo</w:t>
            </w:r>
          </w:p>
        </w:tc>
      </w:tr>
      <w:tr w:rsidR="00000000" w:rsidRPr="00482F67" w14:paraId="3EECDF18"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1CE45F0"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Integridad: la información se mantiene íntegra e inalterada</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5DF415"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CCF art. 1834 bis; CNPCF art. 350</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69B90C"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Huella digital del conjunto completo, calculada al firmar. Recalcularla sobre los datos guardados y compararla demuestra que nada cambió.</w:t>
            </w:r>
          </w:p>
        </w:tc>
      </w:tr>
      <w:tr w:rsidR="00000000" w:rsidRPr="00482F67" w14:paraId="6C708785"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0377E7A"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Detección de alteraciones</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BFBD13C"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CCom art. 97, frs. III y IV</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96A624"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Huellas independientes del texto del reglamento, del texto del aviso y de la imagen de la firma. Una alteración en cualquiera de los tres rompe la comparación.</w:t>
            </w:r>
          </w:p>
        </w:tc>
      </w:tr>
      <w:tr w:rsidR="00000000" w:rsidRPr="00482F67" w14:paraId="0B1A28C5"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40BEE5B"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Accesibilidad para ulterior consulta</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8C3E868"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CCF art. 1834 bis; CNPCF art. 350</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B7C556"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La aceptación se conserva en la base de datos y puede consultarse desde el panel; el titular conserva además su propia copia.</w:t>
            </w:r>
          </w:p>
        </w:tc>
      </w:tr>
      <w:tr w:rsidR="00000000" w:rsidRPr="00482F67" w14:paraId="26758B16"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59ACDB5"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Momento cierto</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D25ED0"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CNPCF art. 349</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78C2509"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Sello de tiempo del servidor, no manipulable desde el dispositivo del firmante.</w:t>
            </w:r>
          </w:p>
        </w:tc>
      </w:tr>
      <w:tr w:rsidR="00000000" w:rsidRPr="00482F67" w14:paraId="670D9076"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665830B"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Atribución</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F60EB60"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CCF art. 1834 bis; CCom art. 93</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432AC6C"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Cubierta parcialmente. Véase el apartado 3.5.</w:t>
            </w:r>
          </w:p>
        </w:tc>
      </w:tr>
      <w:tr w:rsidR="00000000" w:rsidRPr="00482F67" w14:paraId="1648784D"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6BE7EC"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Inalterabilidad posterior</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CACEF2C"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CNPCF art. 350</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1604BCA"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La aceptación se escribe una sola vez y el sistema no ofrece forma de modificarla ni borrarla desde el panel.</w:t>
            </w:r>
          </w:p>
        </w:tc>
      </w:tr>
      <w:tr w:rsidR="00000000" w:rsidRPr="00482F67" w14:paraId="30E8FE97"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3BD572"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Consentimiento expreso en entorno digital</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3786E74"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Reglamento LFPDPPP art. 19</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E320B52"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Firma electrónica sobre el aviso de privacidad, con la versión y su huella registradas.</w:t>
            </w:r>
          </w:p>
        </w:tc>
      </w:tr>
      <w:tr w:rsidR="00000000" w:rsidRPr="00482F67" w14:paraId="2403B2A8" w14:textId="77777777" w:rsidTr="00482F67">
        <w:trPr>
          <w:cantSplit/>
        </w:trPr>
        <w:tc>
          <w:tcPr>
            <w:tcW w:w="133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57BAA5D"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Prueba de que el aviso se puso a disposición</w:t>
            </w:r>
          </w:p>
        </w:tc>
        <w:tc>
          <w:tcPr>
            <w:tcW w:w="92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43A4E1"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Reglamento LFPDPPP arts. 20 y 31</w:t>
            </w:r>
          </w:p>
        </w:tc>
        <w:tc>
          <w:tcPr>
            <w:tcW w:w="2748"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218FF37"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La versión exacta del aviso mostrado queda registrada, junto con el registro de que el texto se recorrió hasta el final.</w:t>
            </w:r>
          </w:p>
        </w:tc>
      </w:tr>
    </w:tbl>
    <w:p w14:paraId="3CE98A0F"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3.4 La prueba de que el método funciona</w:t>
      </w:r>
    </w:p>
    <w:p w14:paraId="66622FAC"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La afirmación de integridad no es teórica. El sistema puede tomar una aceptación cualquiera, recalcular la huella sobre los datos almacenados y compararla con la que quedó registrada al firmar. Si coincide, ni el texto de los documentos, ni los datos del expediente, ni la imagen de la firma se han modificado desde entonces. Esa comprobación puede ejecutarse en pantalla en presencia de quien lo solicite.</w:t>
      </w:r>
    </w:p>
    <w:p w14:paraId="5FCBCB99"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3.5 Lo que el mecanismo no acredita, dicho con precisión</w:t>
      </w:r>
    </w:p>
    <w:p w14:paraId="284E9EED"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evidencia descrita demuestra con solidez </w:t>
      </w:r>
      <w:r>
        <w:rPr>
          <w:rStyle w:val="Fuerte"/>
          <w:rFonts w:ascii="Segoe UI" w:hAnsi="Segoe UI" w:cs="Segoe UI"/>
          <w:sz w:val="20"/>
          <w:szCs w:val="20"/>
          <w:lang w:val="es-ES"/>
        </w:rPr>
        <w:t>qué se aceptó, cuándo, y que no cambió después</w:t>
      </w:r>
      <w:r>
        <w:rPr>
          <w:rFonts w:ascii="Segoe UI" w:hAnsi="Segoe UI" w:cs="Segoe UI"/>
          <w:color w:val="1C2333"/>
          <w:sz w:val="20"/>
          <w:szCs w:val="20"/>
          <w:lang w:val="es-ES"/>
        </w:rPr>
        <w:t xml:space="preserve">. No demuestra por sí sola </w:t>
      </w:r>
      <w:r>
        <w:rPr>
          <w:rStyle w:val="Fuerte"/>
          <w:rFonts w:ascii="Segoe UI" w:hAnsi="Segoe UI" w:cs="Segoe UI"/>
          <w:sz w:val="20"/>
          <w:szCs w:val="20"/>
          <w:lang w:val="es-ES"/>
        </w:rPr>
        <w:t>quién firmó</w:t>
      </w:r>
      <w:r>
        <w:rPr>
          <w:rFonts w:ascii="Segoe UI" w:hAnsi="Segoe UI" w:cs="Segoe UI"/>
          <w:color w:val="1C2333"/>
          <w:sz w:val="20"/>
          <w:szCs w:val="20"/>
          <w:lang w:val="es-ES"/>
        </w:rPr>
        <w:t>.</w:t>
      </w:r>
    </w:p>
    <w:p w14:paraId="6B33A49D"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La razón es concreta. El Código de Comercio presume que un mensaje proviene del emisor cuando se envió usando medios de identificación tales como claves o contraseñas suyas (Cámara de Diputados, 2025a, art. 90, fr. II). En el formulario público no hay cuenta ni contraseña: el nombre lo escribe la propia persona. Esa presunción, por tanto, no está disponible.</w:t>
      </w:r>
    </w:p>
    <w:p w14:paraId="373F15EB"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lastRenderedPageBreak/>
        <w:t>Esto no invalida la firma. Significa que la atribución debe sostenerse con otros elementos, y que esos elementos son distintos en cada uno de los dos casos que siguen.</w:t>
      </w:r>
    </w:p>
    <w:p w14:paraId="0A38AE05"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1C7F1239">
          <v:rect id="_x0000_i1028" style="width:0;height:1.5pt" o:hralign="center" o:hrstd="t" o:hr="t" fillcolor="#a0a0a0" stroked="f"/>
        </w:pict>
      </w:r>
    </w:p>
    <w:p w14:paraId="3B789A88"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4. Primer caso: el reglamento de acceso vehicular</w:t>
      </w:r>
    </w:p>
    <w:p w14:paraId="1CCD2D66"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trámite no termina en la pantalla. Después de firmar, el titular acude a Administración a pagar, y vuelve a presentarse para que se le instale el TAG en el vehículo. Son dos encuentros presenciales.</w:t>
      </w:r>
    </w:p>
    <w:p w14:paraId="06535B4E"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En el primero, el personal cobra, verifica el tipo de usuario declarado y comprueba que la familia pertenece al Instituto. En el segundo se coteja que el vehículo corresponde a los datos declarados antes de colocar el TAG. Cada paso queda registrado con la identidad de quien lo realizó, tomada de su sesión y no tecleada.</w:t>
      </w:r>
    </w:p>
    <w:p w14:paraId="46E26A1F"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resultado es que la atribución se apoya en la firma electrónica reforzada más dos verificaciones presenciales. Para un reglamento interno de acceso vehicular, con una cuota fija de control y sin obligaciones económicas prolongadas, ese conjunto resulta proporcional al acto.</w:t>
      </w:r>
    </w:p>
    <w:p w14:paraId="770DF63C"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51EAC4E3">
          <v:rect id="_x0000_i1029" style="width:0;height:1.5pt" o:hralign="center" o:hrstd="t" o:hr="t" fillcolor="#a0a0a0" stroked="f"/>
        </w:pict>
      </w:r>
    </w:p>
    <w:p w14:paraId="6DAC46DE"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5. Segundo caso: los documentos del handbook</w:t>
      </w:r>
    </w:p>
    <w:p w14:paraId="0527A238"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Aquí las condiciones cambian de manera relevante y conviene no trasladar mecánicamente la conclusión anterior.</w:t>
      </w:r>
    </w:p>
    <w:p w14:paraId="5C8703A7"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Los documentos se firmarían a distancia, sin ningún encuentro presencial que respalde la identidad. Se requiere la firma de ambos tutores cuando ambos ejercen la patria potestad. Y su contenido puede generar obligaciones de mayor alcance que el uso de un cajón de estacionamiento.</w:t>
      </w:r>
    </w:p>
    <w:p w14:paraId="42A3F82E"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Existe, sin embargo, un elemento que el caso anterior no tiene: </w:t>
      </w:r>
      <w:r>
        <w:rPr>
          <w:rStyle w:val="Fuerte"/>
          <w:rFonts w:ascii="Segoe UI" w:hAnsi="Segoe UI" w:cs="Segoe UI"/>
          <w:sz w:val="20"/>
          <w:szCs w:val="20"/>
          <w:lang w:val="es-ES"/>
        </w:rPr>
        <w:t>el Instituto ya conoce el correo electrónico de cada tutor</w:t>
      </w:r>
      <w:r>
        <w:rPr>
          <w:rFonts w:ascii="Segoe UI" w:hAnsi="Segoe UI" w:cs="Segoe UI"/>
          <w:color w:val="1C2333"/>
          <w:sz w:val="20"/>
          <w:szCs w:val="20"/>
          <w:lang w:val="es-ES"/>
        </w:rPr>
        <w:t>, porque consta en el sistema de gestión escolar. Eso permite construir la atribución que al formulario público le falta.</w:t>
      </w:r>
    </w:p>
    <w:p w14:paraId="2774E6BC"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El mecanismo consiste en enviar el enlace de firma únicamente a ese correo registrado, acompañado de un código de un solo uso que debe introducirse para firmar. Con ello se satisface el supuesto del artículo 90, fracción II, del Código de Comercio, y además el del artículo 90 bis, que presume que el mensaje proviene del emisor cuando se aplicó adecuadamente un procedimiento acordado previamente con él (Cámara de Diputados, 2025a, arts. 90 y 90 bis). Para que esa presunción opere conviene que el procedimient</w:t>
      </w:r>
      <w:r>
        <w:rPr>
          <w:rFonts w:ascii="Segoe UI" w:hAnsi="Segoe UI" w:cs="Segoe UI"/>
          <w:color w:val="1C2333"/>
          <w:sz w:val="20"/>
          <w:szCs w:val="20"/>
          <w:lang w:val="es-ES"/>
        </w:rPr>
        <w:t>o quede declarado en el propio documento que se firma.</w:t>
      </w:r>
    </w:p>
    <w:p w14:paraId="4AC494F6"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Sobre menores de edad, la regla es clara: quien no ha cumplido dieciocho años no puede obligarse por sí mismo, y consienten quienes ejercen la patria potestad o la tutela (Cámara de Diputados, 2025b, arts. 23, 424, 425 y 646). La Ley General de los Derechos de Niñas, Niños y Adolescentes añade la protección de su intimidad y de sus datos (Cámara de Diputados, 2025d, arts. 76 a 80), y el interés superior de la niñez es principio constitucional (Constitución Política de los Estados Unidos Mexicanos, 2026, art</w:t>
      </w:r>
      <w:r>
        <w:rPr>
          <w:rFonts w:ascii="Segoe UI" w:hAnsi="Segoe UI" w:cs="Segoe UI"/>
          <w:color w:val="1C2333"/>
          <w:sz w:val="20"/>
          <w:szCs w:val="20"/>
          <w:lang w:val="es-ES"/>
        </w:rPr>
        <w:t>. 4).</w:t>
      </w:r>
    </w:p>
    <w:p w14:paraId="729372F6"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36900A70">
          <v:rect id="_x0000_i1030" style="width:0;height:1.5pt" o:hralign="center" o:hrstd="t" o:hr="t" fillcolor="#a0a0a0" stroked="f"/>
        </w:pict>
      </w:r>
    </w:p>
    <w:p w14:paraId="1DAE4027"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6. La constancia de conservación y su costo</w:t>
      </w:r>
    </w:p>
    <w:p w14:paraId="40DFEA84"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6.1 Qué es y qué aporta</w:t>
      </w:r>
    </w:p>
    <w:p w14:paraId="69349554"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Un prestador de servicios de certificación acreditado por la Secretaría de Economía puede emitir una constancia que acredita que un documento existía en determinada fecha y que no ha sido alterado desde entonces (Secretaría de Economía, 2017, numeral 4.2 y apéndice A). La diferencia con el mecanismo actual es de quién sostiene la afirmación: hoy la sostiene el propio Instituto con su huella y su reloj; con la constancia la sostiene un tercero acreditado.</w:t>
      </w:r>
    </w:p>
    <w:p w14:paraId="2151AD61"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lastRenderedPageBreak/>
        <w:t xml:space="preserve">Un dato relevante para la privacidad: </w:t>
      </w:r>
      <w:r>
        <w:rPr>
          <w:rStyle w:val="Fuerte"/>
          <w:rFonts w:ascii="Segoe UI" w:hAnsi="Segoe UI" w:cs="Segoe UI"/>
          <w:sz w:val="20"/>
          <w:szCs w:val="20"/>
          <w:lang w:val="es-ES"/>
        </w:rPr>
        <w:t>el prestador recibe únicamente la huella digital del documento, nunca el documento ni los datos personales</w:t>
      </w:r>
      <w:r>
        <w:rPr>
          <w:rFonts w:ascii="Segoe UI" w:hAnsi="Segoe UI" w:cs="Segoe UI"/>
          <w:color w:val="1C2333"/>
          <w:sz w:val="20"/>
          <w:szCs w:val="20"/>
          <w:lang w:val="es-ES"/>
        </w:rPr>
        <w:t xml:space="preserve"> (Secretaría de Economía, 2017, apéndice A). La huella es un código del que no puede reconstruirse el contenido original.</w:t>
      </w:r>
    </w:p>
    <w:p w14:paraId="5575315D"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La constancia tiene una vigencia mínima de diez años desde su emisión (Secretaría de Economía, 2017, apéndice A, numeral A.8.4.1).</w:t>
      </w:r>
    </w:p>
    <w:p w14:paraId="0BF38F6F"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6.2 Las dos modalidades</w:t>
      </w:r>
    </w:p>
    <w:p w14:paraId="19D25637" w14:textId="77777777" w:rsidR="00BE1E26" w:rsidRDefault="00BE1E26">
      <w:pPr>
        <w:pStyle w:val="NormalWeb"/>
        <w:rPr>
          <w:rFonts w:ascii="Segoe UI" w:hAnsi="Segoe UI" w:cs="Segoe UI"/>
          <w:color w:val="1C2333"/>
          <w:sz w:val="20"/>
          <w:szCs w:val="20"/>
          <w:lang w:val="es-ES"/>
        </w:rPr>
      </w:pPr>
      <w:r>
        <w:rPr>
          <w:rStyle w:val="Fuerte"/>
          <w:rFonts w:ascii="Segoe UI" w:hAnsi="Segoe UI" w:cs="Segoe UI"/>
          <w:sz w:val="20"/>
          <w:szCs w:val="20"/>
          <w:lang w:val="es-ES"/>
        </w:rPr>
        <w:t>Una constancia por cada documento firmado.</w:t>
      </w:r>
      <w:r>
        <w:rPr>
          <w:rFonts w:ascii="Segoe UI" w:hAnsi="Segoe UI" w:cs="Segoe UI"/>
          <w:color w:val="1C2333"/>
          <w:sz w:val="20"/>
          <w:szCs w:val="20"/>
          <w:lang w:val="es-ES"/>
        </w:rPr>
        <w:t xml:space="preserve"> </w:t>
      </w:r>
      <w:r>
        <w:rPr>
          <w:rFonts w:ascii="Segoe UI" w:hAnsi="Segoe UI" w:cs="Segoe UI"/>
          <w:color w:val="1C2333"/>
          <w:sz w:val="20"/>
          <w:szCs w:val="20"/>
          <w:lang w:val="es-ES"/>
        </w:rPr>
        <w:t>Cada expediente obtiene su propio sello del tercero. Es la modalidad más sencilla de exhibir: se presenta el documento y su constancia.</w:t>
      </w:r>
    </w:p>
    <w:p w14:paraId="35423AFF" w14:textId="77777777" w:rsidR="00BE1E26" w:rsidRDefault="00BE1E26">
      <w:pPr>
        <w:pStyle w:val="NormalWeb"/>
        <w:rPr>
          <w:rFonts w:ascii="Segoe UI" w:hAnsi="Segoe UI" w:cs="Segoe UI"/>
          <w:color w:val="1C2333"/>
          <w:sz w:val="20"/>
          <w:szCs w:val="20"/>
          <w:lang w:val="es-ES"/>
        </w:rPr>
      </w:pPr>
      <w:r>
        <w:rPr>
          <w:rStyle w:val="Fuerte"/>
          <w:rFonts w:ascii="Segoe UI" w:hAnsi="Segoe UI" w:cs="Segoe UI"/>
          <w:sz w:val="20"/>
          <w:szCs w:val="20"/>
          <w:lang w:val="es-ES"/>
        </w:rPr>
        <w:t>Una constancia por lote.</w:t>
      </w:r>
      <w:r>
        <w:rPr>
          <w:rFonts w:ascii="Segoe UI" w:hAnsi="Segoe UI" w:cs="Segoe UI"/>
          <w:color w:val="1C2333"/>
          <w:sz w:val="20"/>
          <w:szCs w:val="20"/>
          <w:lang w:val="es-ES"/>
        </w:rPr>
        <w:t xml:space="preserve"> </w:t>
      </w:r>
      <w:r>
        <w:rPr>
          <w:rFonts w:ascii="Segoe UI" w:hAnsi="Segoe UI" w:cs="Segoe UI"/>
          <w:color w:val="1C2333"/>
          <w:sz w:val="20"/>
          <w:szCs w:val="20"/>
          <w:lang w:val="es-ES"/>
        </w:rPr>
        <w:t>En lugar de sellar cada documento, se sellan todos los del periodo mediante un único código que los resume. Reduce el costo de manera considerable, pero tiene dos consecuencias: para demostrar un caso concreto hay que presentar además la prueba de que ese documento formaba parte del lote sellado, y la fecha certificada tiene la granularidad del periodo, no del minuto.</w:t>
      </w:r>
    </w:p>
    <w:p w14:paraId="48DE1942"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6.3 El costo, con la aritmética a la vista</w:t>
      </w:r>
    </w:p>
    <w:p w14:paraId="0B7BE3E7"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precio de mercado de una constancia se ubica </w:t>
      </w:r>
      <w:r>
        <w:rPr>
          <w:rStyle w:val="Fuerte"/>
          <w:rFonts w:ascii="Segoe UI" w:hAnsi="Segoe UI" w:cs="Segoe UI"/>
          <w:sz w:val="20"/>
          <w:szCs w:val="20"/>
          <w:lang w:val="es-ES"/>
        </w:rPr>
        <w:t>entre 14 y 90 pesos</w:t>
      </w:r>
      <w:r>
        <w:rPr>
          <w:rFonts w:ascii="Segoe UI" w:hAnsi="Segoe UI" w:cs="Segoe UI"/>
          <w:color w:val="1C2333"/>
          <w:sz w:val="20"/>
          <w:szCs w:val="20"/>
          <w:lang w:val="es-ES"/>
        </w:rPr>
        <w:t>, según el proveedor. El costo anual depende de cuántas constancias se emitan, no de cuántos documentos se firmen. De ahí la diferencia entre las modalidades.</w:t>
      </w:r>
    </w:p>
    <w:p w14:paraId="2AE2D01D"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El siguiente cálculo supone </w:t>
      </w:r>
      <w:r>
        <w:rPr>
          <w:rStyle w:val="Fuerte"/>
          <w:rFonts w:ascii="Segoe UI" w:hAnsi="Segoe UI" w:cs="Segoe UI"/>
          <w:sz w:val="20"/>
          <w:szCs w:val="20"/>
          <w:lang w:val="es-ES"/>
        </w:rPr>
        <w:t>400 firmas al año</w:t>
      </w:r>
      <w:r>
        <w:rPr>
          <w:rFonts w:ascii="Segoe UI" w:hAnsi="Segoe UI" w:cs="Segoe UI"/>
          <w:color w:val="1C2333"/>
          <w:sz w:val="20"/>
          <w:szCs w:val="20"/>
          <w:lang w:val="es-ES"/>
        </w:rPr>
        <w:t>, que es el orden de magnitud del trámite del TAG. La cifra debe confirmarse antes de decidir; para el handbook el volumen sería considerablemente mayor, y la fórmula se explica debajo de la tabla.</w:t>
      </w:r>
    </w:p>
    <w:tbl>
      <w:tblPr>
        <w:tblW w:w="5000" w:type="pct"/>
        <w:tblCellMar>
          <w:top w:w="15" w:type="dxa"/>
          <w:left w:w="15" w:type="dxa"/>
          <w:bottom w:w="15" w:type="dxa"/>
          <w:right w:w="15" w:type="dxa"/>
        </w:tblCellMar>
        <w:tblLook w:val="04A0" w:firstRow="1" w:lastRow="0" w:firstColumn="1" w:lastColumn="0" w:noHBand="0" w:noVBand="1"/>
      </w:tblPr>
      <w:tblGrid>
        <w:gridCol w:w="3253"/>
        <w:gridCol w:w="1971"/>
        <w:gridCol w:w="2380"/>
        <w:gridCol w:w="2380"/>
      </w:tblGrid>
      <w:tr w:rsidR="00000000" w:rsidRPr="00482F67" w14:paraId="174491E0" w14:textId="77777777" w:rsidTr="00482F67">
        <w:trPr>
          <w:cantSplit/>
          <w:tblHeader/>
        </w:trPr>
        <w:tc>
          <w:tcPr>
            <w:tcW w:w="1629"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A56AF0B"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Modalidad</w:t>
            </w:r>
          </w:p>
        </w:tc>
        <w:tc>
          <w:tcPr>
            <w:tcW w:w="987"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A860FEA"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Constancias al año</w:t>
            </w:r>
          </w:p>
        </w:tc>
        <w:tc>
          <w:tcPr>
            <w:tcW w:w="1192"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41D5276"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Costo anual a 14 pesos</w:t>
            </w:r>
          </w:p>
        </w:tc>
        <w:tc>
          <w:tcPr>
            <w:tcW w:w="1192"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43F13329" w14:textId="77777777" w:rsidR="00BE1E26" w:rsidRPr="00482F67" w:rsidRDefault="00BE1E26">
            <w:pPr>
              <w:spacing w:before="120" w:after="180"/>
              <w:rPr>
                <w:rFonts w:ascii="Segoe UI" w:eastAsia="Times New Roman" w:hAnsi="Segoe UI" w:cs="Segoe UI"/>
                <w:b/>
                <w:bCs/>
                <w:color w:val="FFFFFF"/>
                <w:sz w:val="17"/>
                <w:szCs w:val="18"/>
              </w:rPr>
            </w:pPr>
            <w:r w:rsidRPr="00482F67">
              <w:rPr>
                <w:rFonts w:ascii="Segoe UI" w:eastAsia="Times New Roman" w:hAnsi="Segoe UI" w:cs="Segoe UI"/>
                <w:b/>
                <w:bCs/>
                <w:color w:val="FFFFFF"/>
                <w:sz w:val="17"/>
                <w:szCs w:val="18"/>
              </w:rPr>
              <w:t>Costo anual a 90 pesos</w:t>
            </w:r>
          </w:p>
        </w:tc>
      </w:tr>
      <w:tr w:rsidR="00000000" w:rsidRPr="00482F67" w14:paraId="2C85EAB6" w14:textId="77777777" w:rsidTr="00482F67">
        <w:trPr>
          <w:cantSplit/>
        </w:trPr>
        <w:tc>
          <w:tcPr>
            <w:tcW w:w="162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9CFA05"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Una por cada documento firmado</w:t>
            </w:r>
          </w:p>
        </w:tc>
        <w:tc>
          <w:tcPr>
            <w:tcW w:w="9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D305BC5"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400</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3D791E"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5,600 pesos</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85C6B1D"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36,000 pesos</w:t>
            </w:r>
          </w:p>
        </w:tc>
      </w:tr>
      <w:tr w:rsidR="00000000" w:rsidRPr="00482F67" w14:paraId="4B5DAF28" w14:textId="77777777" w:rsidTr="00482F67">
        <w:trPr>
          <w:cantSplit/>
        </w:trPr>
        <w:tc>
          <w:tcPr>
            <w:tcW w:w="162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88A2448"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Una diaria, por lote</w:t>
            </w:r>
          </w:p>
        </w:tc>
        <w:tc>
          <w:tcPr>
            <w:tcW w:w="9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69EA1AA"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365</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EACE9DA"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5,110 pesos</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A9403AB"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32,850 pesos</w:t>
            </w:r>
          </w:p>
        </w:tc>
      </w:tr>
      <w:tr w:rsidR="00000000" w:rsidRPr="00482F67" w14:paraId="4F9F240B" w14:textId="77777777" w:rsidTr="00482F67">
        <w:trPr>
          <w:cantSplit/>
        </w:trPr>
        <w:tc>
          <w:tcPr>
            <w:tcW w:w="162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4156AEB"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Una semanal, por lote</w:t>
            </w:r>
          </w:p>
        </w:tc>
        <w:tc>
          <w:tcPr>
            <w:tcW w:w="9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B3ADF6"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52</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C25821F"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728 pesos</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5FDAB3D"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4,680 pesos</w:t>
            </w:r>
          </w:p>
        </w:tc>
      </w:tr>
      <w:tr w:rsidR="00000000" w:rsidRPr="00482F67" w14:paraId="38881EF4" w14:textId="77777777" w:rsidTr="00482F67">
        <w:trPr>
          <w:cantSplit/>
        </w:trPr>
        <w:tc>
          <w:tcPr>
            <w:tcW w:w="1629"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7368E84"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Una mensual, por lote</w:t>
            </w:r>
          </w:p>
        </w:tc>
        <w:tc>
          <w:tcPr>
            <w:tcW w:w="9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3063398"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12</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FF63FA9"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168 pesos</w:t>
            </w:r>
          </w:p>
        </w:tc>
        <w:tc>
          <w:tcPr>
            <w:tcW w:w="1192"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4F51089" w14:textId="77777777" w:rsidR="00BE1E26" w:rsidRPr="00482F67" w:rsidRDefault="00BE1E26">
            <w:pPr>
              <w:spacing w:before="120" w:after="180"/>
              <w:rPr>
                <w:rFonts w:ascii="Segoe UI" w:eastAsia="Times New Roman" w:hAnsi="Segoe UI" w:cs="Segoe UI"/>
                <w:color w:val="1C2333"/>
                <w:sz w:val="17"/>
                <w:szCs w:val="18"/>
              </w:rPr>
            </w:pPr>
            <w:r w:rsidRPr="00482F67">
              <w:rPr>
                <w:rFonts w:ascii="Segoe UI" w:eastAsia="Times New Roman" w:hAnsi="Segoe UI" w:cs="Segoe UI"/>
                <w:color w:val="1C2333"/>
                <w:sz w:val="17"/>
                <w:szCs w:val="18"/>
              </w:rPr>
              <w:t>1,080 pesos</w:t>
            </w:r>
          </w:p>
        </w:tc>
      </w:tr>
    </w:tbl>
    <w:p w14:paraId="59183F8B"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La fórmula es directa: </w:t>
      </w:r>
      <w:r>
        <w:rPr>
          <w:rStyle w:val="Fuerte"/>
          <w:rFonts w:ascii="Segoe UI" w:hAnsi="Segoe UI" w:cs="Segoe UI"/>
          <w:sz w:val="20"/>
          <w:szCs w:val="20"/>
          <w:lang w:val="es-ES"/>
        </w:rPr>
        <w:t>número de constancias al año multiplicado por el precio unitario</w:t>
      </w:r>
      <w:r>
        <w:rPr>
          <w:rFonts w:ascii="Segoe UI" w:hAnsi="Segoe UI" w:cs="Segoe UI"/>
          <w:color w:val="1C2333"/>
          <w:sz w:val="20"/>
          <w:szCs w:val="20"/>
          <w:lang w:val="es-ES"/>
        </w:rPr>
        <w:t>. En la modalidad por documento, el número de constancias es igual al número de firmas, de modo que el costo crece con el volumen. En la modalidad por lote, el número de constancias depende únicamente de la frecuencia elegida, y el volumen de firmas deja de influir en el precio.</w:t>
      </w:r>
    </w:p>
    <w:p w14:paraId="124AAD96"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Para dimensionar el handbook conviene multiplicar el número de familias por el número de documentos y por el número de tutores que deben firmar cada uno. Con varios miles de firmas al año, la modalidad por documento se vuelve costosa y la de lote resulta claramente preferible.</w:t>
      </w:r>
    </w:p>
    <w:p w14:paraId="55F21128"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Los precios citados provienen de la investigación de mercado del proyecto y no constituyen cotización formal.</w:t>
      </w:r>
    </w:p>
    <w:p w14:paraId="4289182D"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4EED3996">
          <v:rect id="_x0000_i1031" style="width:0;height:1.5pt" o:hralign="center" o:hrstd="t" o:hr="t" fillcolor="#a0a0a0" stroked="f"/>
        </w:pict>
      </w:r>
    </w:p>
    <w:p w14:paraId="20715EBA"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7. Puntos que requieren definición</w:t>
      </w:r>
    </w:p>
    <w:p w14:paraId="384BBA05"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Se enuncian sin proponer respuesta, por ser materia de criterio jurídico e institucional.</w:t>
      </w:r>
    </w:p>
    <w:p w14:paraId="4C2C3159"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lastRenderedPageBreak/>
        <w:t>Si la firma electrónica simple reforzada, con las dos verificaciones presenciales descritas en el apartado 4, resulta suficiente para el reglamento de acceso vehicular.</w:t>
      </w:r>
    </w:p>
    <w:p w14:paraId="566E13E0"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 los documentos del handbook requieren verificación de identidad contra documento oficial, o si basta la atribución por correo registrado con código de un solo uso descrita en el apartado 5.</w:t>
      </w:r>
    </w:p>
    <w:p w14:paraId="57FD4B78"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 conviene contratar la constancia de conservación y en qué modalidad.</w:t>
      </w:r>
    </w:p>
    <w:p w14:paraId="2B45254B"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Qué plazo debe conservarse la evidencia de firma y desde qué evento se cuenta. El aviso de privacidad general del Instituto fija cinco años contados a partir de la terminación de la finalidad.</w:t>
      </w:r>
    </w:p>
    <w:p w14:paraId="16B47AE7"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 la imagen de la firma y sus trazos deben tratarse como dato personal sensible. El aviso general del Instituto los clasifica hoy como dato identificativo, no sensible.</w:t>
      </w:r>
    </w:p>
    <w:p w14:paraId="24DB9C6D"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Qué redacción debe tener la cláusula de aceptación electrónica en el reglamento y en los documentos del handbook.</w:t>
      </w:r>
    </w:p>
    <w:p w14:paraId="180CD765" w14:textId="77777777" w:rsidR="00BE1E26" w:rsidRDefault="00BE1E26">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Si basta la firma de uno de los padres cuando ambos ejercen la patria potestad, o se requieren las dos, y cómo proceder cuando el sistema escolar registra un solo tutor.</w:t>
      </w:r>
    </w:p>
    <w:p w14:paraId="3FAFF058" w14:textId="77777777" w:rsidR="00BE1E26" w:rsidRDefault="00BE1E26">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7DC71398">
          <v:rect id="_x0000_i1032" style="width:0;height:1.5pt" o:hralign="center" o:hrstd="t" o:hr="t" fillcolor="#a0a0a0" stroked="f"/>
        </w:pict>
      </w:r>
    </w:p>
    <w:p w14:paraId="5BA431B7" w14:textId="77777777" w:rsidR="00BE1E26" w:rsidRDefault="00BE1E26">
      <w:pPr>
        <w:pStyle w:val="Ttulo2"/>
        <w:rPr>
          <w:rFonts w:ascii="Segoe UI" w:eastAsia="Times New Roman" w:hAnsi="Segoe UI" w:cs="Segoe UI"/>
          <w:lang w:val="es-ES"/>
        </w:rPr>
      </w:pPr>
      <w:r>
        <w:rPr>
          <w:rFonts w:ascii="Segoe UI" w:eastAsia="Times New Roman" w:hAnsi="Segoe UI" w:cs="Segoe UI"/>
          <w:lang w:val="es-ES"/>
        </w:rPr>
        <w:t>Referencias</w:t>
      </w:r>
    </w:p>
    <w:p w14:paraId="451419D7"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(2011, 21 de diciembre). </w:t>
      </w:r>
      <w:r>
        <w:rPr>
          <w:rStyle w:val="nfasis"/>
          <w:rFonts w:ascii="Segoe UI" w:hAnsi="Segoe UI" w:cs="Segoe UI"/>
          <w:color w:val="1C2333"/>
          <w:sz w:val="20"/>
          <w:szCs w:val="20"/>
          <w:lang w:val="es-ES"/>
        </w:rPr>
        <w:t>Reglamento de la Ley Federal de Protección de Datos Personales en Posesión de los Particulares</w:t>
      </w:r>
      <w:r>
        <w:rPr>
          <w:rFonts w:ascii="Segoe UI" w:hAnsi="Segoe UI" w:cs="Segoe UI"/>
          <w:color w:val="1C2333"/>
          <w:sz w:val="20"/>
          <w:szCs w:val="20"/>
          <w:lang w:val="es-ES"/>
        </w:rPr>
        <w:t>. Diario Oficial de la Federación. https://www.diputados.gob.mx/LeyesBiblio/regley/Reg_LFPDPPP.pdf</w:t>
      </w:r>
    </w:p>
    <w:p w14:paraId="2F301736"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(2023, 7 de junio). </w:t>
      </w:r>
      <w:r>
        <w:rPr>
          <w:rStyle w:val="nfasis"/>
          <w:rFonts w:ascii="Segoe UI" w:hAnsi="Segoe UI" w:cs="Segoe UI"/>
          <w:color w:val="1C2333"/>
          <w:sz w:val="20"/>
          <w:szCs w:val="20"/>
          <w:lang w:val="es-ES"/>
        </w:rPr>
        <w:t>Código Federal de Procedimientos Civiles</w:t>
      </w:r>
      <w:r>
        <w:rPr>
          <w:rFonts w:ascii="Segoe UI" w:hAnsi="Segoe UI" w:cs="Segoe UI"/>
          <w:color w:val="1C2333"/>
          <w:sz w:val="20"/>
          <w:szCs w:val="20"/>
          <w:lang w:val="es-ES"/>
        </w:rPr>
        <w:t xml:space="preserve"> [abrogado por decreto, con vigencia gradual hasta el 1 de abril de 2027]. Diario Oficial de la Federación. https://www.diputados.gob.mx/LeyesBiblio/pdf/CFPC.pdf</w:t>
      </w:r>
    </w:p>
    <w:p w14:paraId="62F73EBE"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(2025a, 14 de noviembre). </w:t>
      </w:r>
      <w:r>
        <w:rPr>
          <w:rStyle w:val="nfasis"/>
          <w:rFonts w:ascii="Segoe UI" w:hAnsi="Segoe UI" w:cs="Segoe UI"/>
          <w:color w:val="1C2333"/>
          <w:sz w:val="20"/>
          <w:szCs w:val="20"/>
          <w:lang w:val="es-ES"/>
        </w:rPr>
        <w:t>Código de Comercio</w:t>
      </w:r>
      <w:r>
        <w:rPr>
          <w:rFonts w:ascii="Segoe UI" w:hAnsi="Segoe UI" w:cs="Segoe UI"/>
          <w:color w:val="1C2333"/>
          <w:sz w:val="20"/>
          <w:szCs w:val="20"/>
          <w:lang w:val="es-ES"/>
        </w:rPr>
        <w:t xml:space="preserve"> </w:t>
      </w:r>
      <w:r>
        <w:rPr>
          <w:rFonts w:ascii="Segoe UI" w:hAnsi="Segoe UI" w:cs="Segoe UI"/>
          <w:color w:val="1C2333"/>
          <w:sz w:val="20"/>
          <w:szCs w:val="20"/>
          <w:lang w:val="es-ES"/>
        </w:rPr>
        <w:t>[última reforma]. Diario Oficial de la Federación. https://www.diputados.gob.mx/LeyesBiblio/pdf/CCom.pdf</w:t>
      </w:r>
    </w:p>
    <w:p w14:paraId="422EEDD8"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(2025b, 14 de noviembre). </w:t>
      </w:r>
      <w:r>
        <w:rPr>
          <w:rStyle w:val="nfasis"/>
          <w:rFonts w:ascii="Segoe UI" w:hAnsi="Segoe UI" w:cs="Segoe UI"/>
          <w:color w:val="1C2333"/>
          <w:sz w:val="20"/>
          <w:szCs w:val="20"/>
          <w:lang w:val="es-ES"/>
        </w:rPr>
        <w:t>Código Civil Federal</w:t>
      </w:r>
      <w:r>
        <w:rPr>
          <w:rFonts w:ascii="Segoe UI" w:hAnsi="Segoe UI" w:cs="Segoe UI"/>
          <w:color w:val="1C2333"/>
          <w:sz w:val="20"/>
          <w:szCs w:val="20"/>
          <w:lang w:val="es-ES"/>
        </w:rPr>
        <w:t xml:space="preserve"> [última reforma]. Diario Oficial de la Federación. https://www.diputados.gob.mx/LeyesBiblio/pdf/CCF.pdf</w:t>
      </w:r>
    </w:p>
    <w:p w14:paraId="1D6743C0"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(2025c, 14 de noviembre). </w:t>
      </w:r>
      <w:r>
        <w:rPr>
          <w:rStyle w:val="nfasis"/>
          <w:rFonts w:ascii="Segoe UI" w:hAnsi="Segoe UI" w:cs="Segoe UI"/>
          <w:color w:val="1C2333"/>
          <w:sz w:val="20"/>
          <w:szCs w:val="20"/>
          <w:lang w:val="es-ES"/>
        </w:rPr>
        <w:t>Ley de Firma Electrónica Avanzada</w:t>
      </w:r>
      <w:r>
        <w:rPr>
          <w:rFonts w:ascii="Segoe UI" w:hAnsi="Segoe UI" w:cs="Segoe UI"/>
          <w:color w:val="1C2333"/>
          <w:sz w:val="20"/>
          <w:szCs w:val="20"/>
          <w:lang w:val="es-ES"/>
        </w:rPr>
        <w:t xml:space="preserve"> </w:t>
      </w:r>
      <w:r>
        <w:rPr>
          <w:rFonts w:ascii="Segoe UI" w:hAnsi="Segoe UI" w:cs="Segoe UI"/>
          <w:color w:val="1C2333"/>
          <w:sz w:val="20"/>
          <w:szCs w:val="20"/>
          <w:lang w:val="es-ES"/>
        </w:rPr>
        <w:t>[última reforma]. Diario Oficial de la Federación. https://www.diputados.gob.mx/LeyesBiblio/pdf/LFEA.pdf</w:t>
      </w:r>
    </w:p>
    <w:p w14:paraId="1D9ECCC8"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(2025d). </w:t>
      </w:r>
      <w:r>
        <w:rPr>
          <w:rStyle w:val="nfasis"/>
          <w:rFonts w:ascii="Segoe UI" w:hAnsi="Segoe UI" w:cs="Segoe UI"/>
          <w:color w:val="1C2333"/>
          <w:sz w:val="20"/>
          <w:szCs w:val="20"/>
          <w:lang w:val="es-ES"/>
        </w:rPr>
        <w:t>Ley General de los Derechos de Niñas, Niños y Adolescentes</w:t>
      </w:r>
      <w:r>
        <w:rPr>
          <w:rFonts w:ascii="Segoe UI" w:hAnsi="Segoe UI" w:cs="Segoe UI"/>
          <w:color w:val="1C2333"/>
          <w:sz w:val="20"/>
          <w:szCs w:val="20"/>
          <w:lang w:val="es-ES"/>
        </w:rPr>
        <w:t xml:space="preserve"> [texto vigente]. Diario Oficial de la Federación. https://www.diputados.gob.mx/LeyesBiblio/pdf/LGDNNA.pdf</w:t>
      </w:r>
    </w:p>
    <w:p w14:paraId="7022D8B0"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(2025e, 14 de noviembre). </w:t>
      </w:r>
      <w:r>
        <w:rPr>
          <w:rStyle w:val="nfasis"/>
          <w:rFonts w:ascii="Segoe UI" w:hAnsi="Segoe UI" w:cs="Segoe UI"/>
          <w:color w:val="1C2333"/>
          <w:sz w:val="20"/>
          <w:szCs w:val="20"/>
          <w:lang w:val="es-ES"/>
        </w:rPr>
        <w:t>Ley Federal de Protección de Datos Personales en Posesión de los Particulares</w:t>
      </w:r>
      <w:r>
        <w:rPr>
          <w:rFonts w:ascii="Segoe UI" w:hAnsi="Segoe UI" w:cs="Segoe UI"/>
          <w:color w:val="1C2333"/>
          <w:sz w:val="20"/>
          <w:szCs w:val="20"/>
          <w:lang w:val="es-ES"/>
        </w:rPr>
        <w:t xml:space="preserve"> </w:t>
      </w:r>
      <w:r>
        <w:rPr>
          <w:rFonts w:ascii="Segoe UI" w:hAnsi="Segoe UI" w:cs="Segoe UI"/>
          <w:color w:val="1C2333"/>
          <w:sz w:val="20"/>
          <w:szCs w:val="20"/>
          <w:lang w:val="es-ES"/>
        </w:rPr>
        <w:t>[nueva ley publicada el 20 de marzo de 2025; última reforma]. Diario Oficial de la Federación. https://www.diputados.gob.mx/LeyesBiblio/pdf/LFPDPPP.pdf</w:t>
      </w:r>
    </w:p>
    <w:p w14:paraId="03DFD572"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(2026a, 15 de enero). </w:t>
      </w:r>
      <w:r>
        <w:rPr>
          <w:rStyle w:val="nfasis"/>
          <w:rFonts w:ascii="Segoe UI" w:hAnsi="Segoe UI" w:cs="Segoe UI"/>
          <w:color w:val="1C2333"/>
          <w:sz w:val="20"/>
          <w:szCs w:val="20"/>
          <w:lang w:val="es-ES"/>
        </w:rPr>
        <w:t>Código Nacional de Procedimientos Civiles y Familiares</w:t>
      </w:r>
      <w:r>
        <w:rPr>
          <w:rFonts w:ascii="Segoe UI" w:hAnsi="Segoe UI" w:cs="Segoe UI"/>
          <w:color w:val="1C2333"/>
          <w:sz w:val="20"/>
          <w:szCs w:val="20"/>
          <w:lang w:val="es-ES"/>
        </w:rPr>
        <w:t xml:space="preserve"> [última reforma]. Diario Oficial de la Federación. https://www.diputados.gob.mx/LeyesBiblio/pdf/CNPCF.pdf</w:t>
      </w:r>
    </w:p>
    <w:p w14:paraId="3D0C337B"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Cámara de Diputados del H. Congreso de la Unión. (2026b, 9 de abril). </w:t>
      </w:r>
      <w:r>
        <w:rPr>
          <w:rStyle w:val="nfasis"/>
          <w:rFonts w:ascii="Segoe UI" w:hAnsi="Segoe UI" w:cs="Segoe UI"/>
          <w:color w:val="1C2333"/>
          <w:sz w:val="20"/>
          <w:szCs w:val="20"/>
          <w:lang w:val="es-ES"/>
        </w:rPr>
        <w:t>Código Fiscal de la Federación</w:t>
      </w:r>
      <w:r>
        <w:rPr>
          <w:rFonts w:ascii="Segoe UI" w:hAnsi="Segoe UI" w:cs="Segoe UI"/>
          <w:color w:val="1C2333"/>
          <w:sz w:val="20"/>
          <w:szCs w:val="20"/>
          <w:lang w:val="es-ES"/>
        </w:rPr>
        <w:t xml:space="preserve"> </w:t>
      </w:r>
      <w:r>
        <w:rPr>
          <w:rFonts w:ascii="Segoe UI" w:hAnsi="Segoe UI" w:cs="Segoe UI"/>
          <w:color w:val="1C2333"/>
          <w:sz w:val="20"/>
          <w:szCs w:val="20"/>
          <w:lang w:val="es-ES"/>
        </w:rPr>
        <w:t>[última reforma]. Diario Oficial de la Federación. https://www.diputados.gob.mx/LeyesBiblio/pdf/CFF.pdf</w:t>
      </w:r>
    </w:p>
    <w:p w14:paraId="181FD0F3" w14:textId="77777777" w:rsidR="00BE1E26" w:rsidRDefault="00BE1E26">
      <w:pPr>
        <w:pStyle w:val="NormalWeb"/>
        <w:rPr>
          <w:rFonts w:ascii="Segoe UI" w:hAnsi="Segoe UI" w:cs="Segoe UI"/>
          <w:color w:val="1C2333"/>
          <w:sz w:val="20"/>
          <w:szCs w:val="20"/>
          <w:lang w:val="es-ES"/>
        </w:rPr>
      </w:pPr>
      <w:r>
        <w:rPr>
          <w:rStyle w:val="nfasis"/>
          <w:rFonts w:ascii="Segoe UI" w:hAnsi="Segoe UI" w:cs="Segoe UI"/>
          <w:color w:val="1C2333"/>
          <w:sz w:val="20"/>
          <w:szCs w:val="20"/>
          <w:lang w:val="es-ES"/>
        </w:rPr>
        <w:t>Constitución Política de los Estados Unidos Mexicanos</w:t>
      </w:r>
      <w:r>
        <w:rPr>
          <w:rFonts w:ascii="Segoe UI" w:hAnsi="Segoe UI" w:cs="Segoe UI"/>
          <w:color w:val="1C2333"/>
          <w:sz w:val="20"/>
          <w:szCs w:val="20"/>
          <w:lang w:val="es-ES"/>
        </w:rPr>
        <w:t>. (2026). [Texto vigente]. Cámara de Diputados del H. Congreso de la Unión. https://www.diputados.gob.mx/LeyesBiblio/pdf/CPEUM.pdf</w:t>
      </w:r>
    </w:p>
    <w:p w14:paraId="179FB6E6"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Secretaría de Economía. (2017, 30 de marzo). </w:t>
      </w:r>
      <w:r>
        <w:rPr>
          <w:rStyle w:val="nfasis"/>
          <w:rFonts w:ascii="Segoe UI" w:hAnsi="Segoe UI" w:cs="Segoe UI"/>
          <w:color w:val="1C2333"/>
          <w:sz w:val="20"/>
          <w:szCs w:val="20"/>
          <w:lang w:val="es-ES"/>
        </w:rPr>
        <w:t>Norma Oficial Mexicana NOM-151-SCFI-2016, Requisitos que deben observarse para la conservación de mensajes de datos y digitalización de documentos</w:t>
      </w:r>
      <w:r>
        <w:rPr>
          <w:rFonts w:ascii="Segoe UI" w:hAnsi="Segoe UI" w:cs="Segoe UI"/>
          <w:color w:val="1C2333"/>
          <w:sz w:val="20"/>
          <w:szCs w:val="20"/>
          <w:lang w:val="es-ES"/>
        </w:rPr>
        <w:t>. Diario Oficial de la Federación. https://dof.gob.mx/nota_detalle.php?codigo=5478024&amp;fecha=30/03/2017</w:t>
      </w:r>
    </w:p>
    <w:p w14:paraId="65384701"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lastRenderedPageBreak/>
        <w:t xml:space="preserve">Secretaría de Economía. (2026). </w:t>
      </w:r>
      <w:r>
        <w:rPr>
          <w:rStyle w:val="nfasis"/>
          <w:rFonts w:ascii="Segoe UI" w:hAnsi="Segoe UI" w:cs="Segoe UI"/>
          <w:color w:val="1C2333"/>
          <w:sz w:val="20"/>
          <w:szCs w:val="20"/>
          <w:lang w:val="es-ES"/>
        </w:rPr>
        <w:t>Directorio de prestadores de servicios de certificación acreditados</w:t>
      </w:r>
      <w:r>
        <w:rPr>
          <w:rFonts w:ascii="Segoe UI" w:hAnsi="Segoe UI" w:cs="Segoe UI"/>
          <w:color w:val="1C2333"/>
          <w:sz w:val="20"/>
          <w:szCs w:val="20"/>
          <w:lang w:val="es-ES"/>
        </w:rPr>
        <w:t>. https://psc.economia.gob.mx/directorio.html</w:t>
      </w:r>
    </w:p>
    <w:p w14:paraId="3B08ED12"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Suprema Corte de Justicia de la Nación, Primera Sala. (2019, 24 de mayo). </w:t>
      </w:r>
      <w:r>
        <w:rPr>
          <w:rStyle w:val="nfasis"/>
          <w:rFonts w:ascii="Segoe UI" w:hAnsi="Segoe UI" w:cs="Segoe UI"/>
          <w:color w:val="1C2333"/>
          <w:sz w:val="20"/>
          <w:szCs w:val="20"/>
          <w:lang w:val="es-ES"/>
        </w:rPr>
        <w:t>Jurisprudencia 1a./J. 16/2019 (10a.)</w:t>
      </w:r>
      <w:r>
        <w:rPr>
          <w:rFonts w:ascii="Segoe UI" w:hAnsi="Segoe UI" w:cs="Segoe UI"/>
          <w:color w:val="1C2333"/>
          <w:sz w:val="20"/>
          <w:szCs w:val="20"/>
          <w:lang w:val="es-ES"/>
        </w:rPr>
        <w:t>, registro digital 2019919. Semanario Judicial de la Federación. https://sjf2.scjn.gob.mx/detalle/tesis/2019919</w:t>
      </w:r>
    </w:p>
    <w:p w14:paraId="607BA11B" w14:textId="77777777" w:rsidR="00BE1E26" w:rsidRDefault="00BE1E26">
      <w:pPr>
        <w:pStyle w:val="Ttulo3"/>
        <w:rPr>
          <w:rFonts w:ascii="Segoe UI" w:eastAsia="Times New Roman" w:hAnsi="Segoe UI" w:cs="Segoe UI"/>
          <w:lang w:val="es-ES"/>
        </w:rPr>
      </w:pPr>
      <w:r>
        <w:rPr>
          <w:rFonts w:ascii="Segoe UI" w:eastAsia="Times New Roman" w:hAnsi="Segoe UI" w:cs="Segoe UI"/>
          <w:lang w:val="es-ES"/>
        </w:rPr>
        <w:t>Nota sobre las citas</w:t>
      </w:r>
    </w:p>
    <w:p w14:paraId="01E07349"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Se emplea el formato de la American Psychological Association, séptima edición, adaptado a fuentes normativas mexicanas. En el texto, la cita indica el emisor, el año y el artículo preciso. En las referencias, cada entrada remite a la dirección oficial donde puede descargarse el texto vigente, de modo que cualquier afirmación de este documento puede comprobarse de forma independiente.</w:t>
      </w:r>
    </w:p>
    <w:p w14:paraId="1AB36F45" w14:textId="77777777" w:rsidR="00BE1E26" w:rsidRDefault="00BE1E26">
      <w:pPr>
        <w:pStyle w:val="NormalWeb"/>
        <w:rPr>
          <w:rFonts w:ascii="Segoe UI" w:hAnsi="Segoe UI" w:cs="Segoe UI"/>
          <w:color w:val="1C2333"/>
          <w:sz w:val="20"/>
          <w:szCs w:val="20"/>
          <w:lang w:val="es-ES"/>
        </w:rPr>
      </w:pPr>
      <w:r>
        <w:rPr>
          <w:rFonts w:ascii="Segoe UI" w:hAnsi="Segoe UI" w:cs="Segoe UI"/>
          <w:color w:val="1C2333"/>
          <w:sz w:val="20"/>
          <w:szCs w:val="20"/>
          <w:lang w:val="es-ES"/>
        </w:rPr>
        <w:t>Los ordenamientos federales se citan en la edición que publica la Cámara de Diputados, que es la versión con las reformas incorporadas. La norma oficial mexicana se cita en su publicación original en el Diario Oficial de la Federación. La jurisprudencia se cita en el Semanario Judicial de la Federación con su registro digital, que es el identificador que permite localizarla.</w:t>
      </w:r>
    </w:p>
    <w:sectPr w:rsidR="00BE1E26" w:rsidSect="00482F67">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20D7E"/>
    <w:multiLevelType w:val="multilevel"/>
    <w:tmpl w:val="8770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C900F6"/>
    <w:multiLevelType w:val="multilevel"/>
    <w:tmpl w:val="829C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359315">
    <w:abstractNumId w:val="1"/>
  </w:num>
  <w:num w:numId="2" w16cid:durableId="98855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F67"/>
    <w:rsid w:val="00482F67"/>
    <w:rsid w:val="00534C89"/>
    <w:rsid w:val="00BE1E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CAE14"/>
  <w15:chartTrackingRefBased/>
  <w15:docId w15:val="{90AD57A5-0AFE-498E-9C37-3D9BC4B0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Fuerte">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3641</Words>
  <Characters>20028</Characters>
  <Application>Microsoft Office Word</Application>
  <DocSecurity>4</DocSecurity>
  <Lines>166</Lines>
  <Paragraphs>47</Paragraphs>
  <ScaleCrop>false</ScaleCrop>
  <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E6 - Fundamento legal y confiabilidad de la firma electronica</dc:title>
  <dc:subject/>
  <dc:creator>Diego Gerardo Sánchez Moreno</dc:creator>
  <cp:keywords/>
  <dc:description/>
  <cp:lastModifiedBy>Diego Gerardo Sánchez Moreno</cp:lastModifiedBy>
  <cp:revision>2</cp:revision>
  <dcterms:created xsi:type="dcterms:W3CDTF">2026-09-10T15:14:00Z</dcterms:created>
  <dcterms:modified xsi:type="dcterms:W3CDTF">2026-09-10T15:14:00Z</dcterms:modified>
</cp:coreProperties>
</file>