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A582" w14:textId="77777777" w:rsidR="00555C69" w:rsidRDefault="00555C69">
      <w:pPr>
        <w:pStyle w:val="Ttulo1"/>
        <w:rPr>
          <w:rFonts w:ascii="Segoe UI" w:eastAsia="Times New Roman" w:hAnsi="Segoe UI" w:cs="Segoe UI"/>
          <w:lang w:val="es-ES"/>
        </w:rPr>
      </w:pPr>
      <w:r>
        <w:rPr>
          <w:rFonts w:ascii="Segoe UI" w:eastAsia="Times New Roman" w:hAnsi="Segoe UI" w:cs="Segoe UI"/>
          <w:lang w:val="es-ES"/>
        </w:rPr>
        <w:t>Nota para la Gerencia Administrativa</w:t>
      </w:r>
    </w:p>
    <w:p w14:paraId="36F537FB" w14:textId="77777777" w:rsidR="00555C69" w:rsidRDefault="00555C69">
      <w:pPr>
        <w:pStyle w:val="NormalWeb"/>
        <w:rPr>
          <w:rFonts w:ascii="Segoe UI" w:hAnsi="Segoe UI" w:cs="Segoe UI"/>
          <w:color w:val="1C2333"/>
          <w:sz w:val="20"/>
          <w:szCs w:val="20"/>
          <w:lang w:val="es-ES"/>
        </w:rPr>
      </w:pPr>
      <w:r>
        <w:rPr>
          <w:rStyle w:val="Fuerte"/>
          <w:rFonts w:ascii="Segoe UI" w:hAnsi="Segoe UI" w:cs="Segoe UI"/>
          <w:sz w:val="20"/>
          <w:szCs w:val="20"/>
          <w:lang w:val="es-ES"/>
        </w:rPr>
        <w:t>Asunto:</w:t>
      </w:r>
      <w:r>
        <w:rPr>
          <w:rFonts w:ascii="Segoe UI" w:hAnsi="Segoe UI" w:cs="Segoe UI"/>
          <w:color w:val="1C2333"/>
          <w:sz w:val="20"/>
          <w:szCs w:val="20"/>
          <w:lang w:val="es-ES"/>
        </w:rPr>
        <w:t xml:space="preserve"> valor legal de la firma electrónica que usa SATAG, y qué se necesita para los documentos del handbook. </w:t>
      </w:r>
      <w:r>
        <w:rPr>
          <w:rStyle w:val="Fuerte"/>
          <w:rFonts w:ascii="Segoe UI" w:hAnsi="Segoe UI" w:cs="Segoe UI"/>
          <w:sz w:val="20"/>
          <w:szCs w:val="20"/>
          <w:lang w:val="es-ES"/>
        </w:rPr>
        <w:t>Para:</w:t>
      </w:r>
      <w:r>
        <w:rPr>
          <w:rFonts w:ascii="Segoe UI" w:hAnsi="Segoe UI" w:cs="Segoe UI"/>
          <w:color w:val="1C2333"/>
          <w:sz w:val="20"/>
          <w:szCs w:val="20"/>
          <w:lang w:val="es-ES"/>
        </w:rPr>
        <w:t xml:space="preserve"> CP Vicente Hernández, Gerencia Administrativa. </w:t>
      </w:r>
      <w:r>
        <w:rPr>
          <w:rStyle w:val="Fuerte"/>
          <w:rFonts w:ascii="Segoe UI" w:hAnsi="Segoe UI" w:cs="Segoe UI"/>
          <w:sz w:val="20"/>
          <w:szCs w:val="20"/>
          <w:lang w:val="es-ES"/>
        </w:rPr>
        <w:t>De:</w:t>
      </w:r>
      <w:r>
        <w:rPr>
          <w:rFonts w:ascii="Segoe UI" w:hAnsi="Segoe UI" w:cs="Segoe UI"/>
          <w:color w:val="1C2333"/>
          <w:sz w:val="20"/>
          <w:szCs w:val="20"/>
          <w:lang w:val="es-ES"/>
        </w:rPr>
        <w:t xml:space="preserve"> Gerardo Sánchez, Sistemas. </w:t>
      </w:r>
      <w:r>
        <w:rPr>
          <w:rStyle w:val="Fuerte"/>
          <w:rFonts w:ascii="Segoe UI" w:hAnsi="Segoe UI" w:cs="Segoe UI"/>
          <w:sz w:val="20"/>
          <w:szCs w:val="20"/>
          <w:lang w:val="es-ES"/>
        </w:rPr>
        <w:t>Fecha:</w:t>
      </w:r>
      <w:r>
        <w:rPr>
          <w:rFonts w:ascii="Segoe UI" w:hAnsi="Segoe UI" w:cs="Segoe UI"/>
          <w:color w:val="1C2333"/>
          <w:sz w:val="20"/>
          <w:szCs w:val="20"/>
          <w:lang w:val="es-ES"/>
        </w:rPr>
        <w:t xml:space="preserve"> 11 de septiembre de 2026. </w:t>
      </w:r>
      <w:r>
        <w:rPr>
          <w:rStyle w:val="Fuerte"/>
          <w:rFonts w:ascii="Segoe UI" w:hAnsi="Segoe UI" w:cs="Segoe UI"/>
          <w:sz w:val="20"/>
          <w:szCs w:val="20"/>
          <w:lang w:val="es-ES"/>
        </w:rPr>
        <w:t>Anexo:</w:t>
      </w:r>
      <w:r>
        <w:rPr>
          <w:rFonts w:ascii="Segoe UI" w:hAnsi="Segoe UI" w:cs="Segoe UI"/>
          <w:color w:val="1C2333"/>
          <w:sz w:val="20"/>
          <w:szCs w:val="20"/>
          <w:lang w:val="es-ES"/>
        </w:rPr>
        <w:t xml:space="preserve"> documento técnico completo, 32 páginas, con 50 citas normativas cotejadas contra los textos oficiales. Es el que conviene enviar al abogado del Instituto.</w:t>
      </w:r>
    </w:p>
    <w:p w14:paraId="78716428" w14:textId="77777777" w:rsidR="00555C69" w:rsidRDefault="00555C69">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7C05C14C">
          <v:rect id="_x0000_i1025" style="width:0;height:1.5pt" o:hralign="center" o:hrstd="t" o:hr="t" fillcolor="#a0a0a0" stroked="f"/>
        </w:pict>
      </w:r>
    </w:p>
    <w:p w14:paraId="311C59C7" w14:textId="77777777" w:rsidR="00555C69" w:rsidRDefault="00555C69">
      <w:pPr>
        <w:pStyle w:val="Ttulo2"/>
        <w:rPr>
          <w:rFonts w:ascii="Segoe UI" w:eastAsia="Times New Roman" w:hAnsi="Segoe UI" w:cs="Segoe UI"/>
          <w:lang w:val="es-ES"/>
        </w:rPr>
      </w:pPr>
      <w:r>
        <w:rPr>
          <w:rFonts w:ascii="Segoe UI" w:eastAsia="Times New Roman" w:hAnsi="Segoe UI" w:cs="Segoe UI"/>
          <w:lang w:val="es-ES"/>
        </w:rPr>
        <w:t>En pocas palabras</w:t>
      </w:r>
    </w:p>
    <w:p w14:paraId="27ACFBE4" w14:textId="77777777" w:rsidR="00555C69" w:rsidRDefault="00555C6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La firma que SATAG recaba hoy </w:t>
      </w:r>
      <w:r>
        <w:rPr>
          <w:rStyle w:val="Fuerte"/>
          <w:rFonts w:ascii="Segoe UI" w:hAnsi="Segoe UI" w:cs="Segoe UI"/>
          <w:sz w:val="20"/>
          <w:szCs w:val="20"/>
          <w:lang w:val="es-ES"/>
        </w:rPr>
        <w:t>es válida en México</w:t>
      </w:r>
      <w:r>
        <w:rPr>
          <w:rFonts w:ascii="Segoe UI" w:hAnsi="Segoe UI" w:cs="Segoe UI"/>
          <w:color w:val="1C2333"/>
          <w:sz w:val="20"/>
          <w:szCs w:val="20"/>
          <w:lang w:val="es-ES"/>
        </w:rPr>
        <w:t xml:space="preserve"> </w:t>
      </w:r>
      <w:r>
        <w:rPr>
          <w:rFonts w:ascii="Segoe UI" w:hAnsi="Segoe UI" w:cs="Segoe UI"/>
          <w:color w:val="1C2333"/>
          <w:sz w:val="20"/>
          <w:szCs w:val="20"/>
          <w:lang w:val="es-ES"/>
        </w:rPr>
        <w:t xml:space="preserve">y sirve como prueba. La ley no exige la firma electrónica avanzada del SAT para un acuerdo entre particulares, ni obliga al Instituto a contratar servicios de certificación. Lo que sí exige la ley, y lo que la Suprema Corte ha subrayado, es que quien opera el sistema </w:t>
      </w:r>
      <w:r>
        <w:rPr>
          <w:rStyle w:val="Fuerte"/>
          <w:rFonts w:ascii="Segoe UI" w:hAnsi="Segoe UI" w:cs="Segoe UI"/>
          <w:sz w:val="20"/>
          <w:szCs w:val="20"/>
          <w:lang w:val="es-ES"/>
        </w:rPr>
        <w:t>pueda demostrar que su método es confiable</w:t>
      </w:r>
      <w:r>
        <w:rPr>
          <w:rFonts w:ascii="Segoe UI" w:hAnsi="Segoe UI" w:cs="Segoe UI"/>
          <w:color w:val="1C2333"/>
          <w:sz w:val="20"/>
          <w:szCs w:val="20"/>
          <w:lang w:val="es-ES"/>
        </w:rPr>
        <w:t>. Eso es exactamente lo que SATAG guarda con cada firma.</w:t>
      </w:r>
    </w:p>
    <w:p w14:paraId="32481014" w14:textId="77777777" w:rsidR="00555C69" w:rsidRDefault="00555C69">
      <w:pPr>
        <w:pStyle w:val="Ttulo2"/>
        <w:rPr>
          <w:rFonts w:ascii="Segoe UI" w:eastAsia="Times New Roman" w:hAnsi="Segoe UI" w:cs="Segoe UI"/>
          <w:lang w:val="es-ES"/>
        </w:rPr>
      </w:pPr>
      <w:r>
        <w:rPr>
          <w:rFonts w:ascii="Segoe UI" w:eastAsia="Times New Roman" w:hAnsi="Segoe UI" w:cs="Segoe UI"/>
          <w:lang w:val="es-ES"/>
        </w:rPr>
        <w:t>Qué guarda el sistema cada vez que alguien firma</w:t>
      </w:r>
    </w:p>
    <w:p w14:paraId="119D963A" w14:textId="77777777" w:rsidR="00555C69" w:rsidRDefault="00555C69">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imagen de la firma y el trazo con el que se dibujó.</w:t>
      </w:r>
    </w:p>
    <w:p w14:paraId="6598E312" w14:textId="77777777" w:rsidR="00555C69" w:rsidRDefault="00555C69">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versión exacta del reglamento y del aviso de privacidad que la persona leyó, con una huella digital de cada texto.</w:t>
      </w:r>
    </w:p>
    <w:p w14:paraId="354C05A0" w14:textId="77777777" w:rsidR="00555C69" w:rsidRDefault="00555C69">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hora, tomada del servidor y no del teléfono de quien firma.</w:t>
      </w:r>
    </w:p>
    <w:p w14:paraId="4080AE08" w14:textId="77777777" w:rsidR="00555C69" w:rsidRDefault="00555C69">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dirección de red y el navegador desde donde se envió.</w:t>
      </w:r>
    </w:p>
    <w:p w14:paraId="23A139C2" w14:textId="77777777" w:rsidR="00555C69" w:rsidRDefault="00555C69">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Una huella digital de todo el conjunto, que permite demostrar después que nada se modificó.</w:t>
      </w:r>
    </w:p>
    <w:p w14:paraId="7B317A93" w14:textId="77777777" w:rsidR="00555C69" w:rsidRDefault="00555C69">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Una copia para el titular, que puede imprimir o guardar al terminar.</w:t>
      </w:r>
    </w:p>
    <w:p w14:paraId="343854F6" w14:textId="77777777" w:rsidR="00555C69" w:rsidRDefault="00555C69">
      <w:pPr>
        <w:pStyle w:val="NormalWeb"/>
        <w:rPr>
          <w:rFonts w:ascii="Segoe UI" w:hAnsi="Segoe UI" w:cs="Segoe UI"/>
          <w:color w:val="1C2333"/>
          <w:sz w:val="20"/>
          <w:szCs w:val="20"/>
          <w:lang w:val="es-ES"/>
        </w:rPr>
      </w:pPr>
      <w:r>
        <w:rPr>
          <w:rFonts w:ascii="Segoe UI" w:hAnsi="Segoe UI" w:cs="Segoe UI"/>
          <w:color w:val="1C2333"/>
          <w:sz w:val="20"/>
          <w:szCs w:val="20"/>
          <w:lang w:val="es-ES"/>
        </w:rPr>
        <w:t>Nada de eso se puede editar ni borrar desde el panel.</w:t>
      </w:r>
    </w:p>
    <w:p w14:paraId="70202912" w14:textId="77777777" w:rsidR="00555C69" w:rsidRDefault="00555C69">
      <w:pPr>
        <w:pStyle w:val="Ttulo2"/>
        <w:rPr>
          <w:rFonts w:ascii="Segoe UI" w:eastAsia="Times New Roman" w:hAnsi="Segoe UI" w:cs="Segoe UI"/>
          <w:lang w:val="es-ES"/>
        </w:rPr>
      </w:pPr>
      <w:r>
        <w:rPr>
          <w:rFonts w:ascii="Segoe UI" w:eastAsia="Times New Roman" w:hAnsi="Segoe UI" w:cs="Segoe UI"/>
          <w:lang w:val="es-ES"/>
        </w:rPr>
        <w:t>El único punto débil, dicho con claridad</w:t>
      </w:r>
    </w:p>
    <w:p w14:paraId="1CD4913A" w14:textId="77777777" w:rsidR="00555C69" w:rsidRDefault="00555C6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La evidencia demuestra con solidez </w:t>
      </w:r>
      <w:r>
        <w:rPr>
          <w:rStyle w:val="Fuerte"/>
          <w:rFonts w:ascii="Segoe UI" w:hAnsi="Segoe UI" w:cs="Segoe UI"/>
          <w:sz w:val="20"/>
          <w:szCs w:val="20"/>
          <w:lang w:val="es-ES"/>
        </w:rPr>
        <w:t>qué se aceptó, cuándo, y que no cambió después</w:t>
      </w:r>
      <w:r>
        <w:rPr>
          <w:rFonts w:ascii="Segoe UI" w:hAnsi="Segoe UI" w:cs="Segoe UI"/>
          <w:color w:val="1C2333"/>
          <w:sz w:val="20"/>
          <w:szCs w:val="20"/>
          <w:lang w:val="es-ES"/>
        </w:rPr>
        <w:t xml:space="preserve">. Lo que no demuestra por sí sola es </w:t>
      </w:r>
      <w:r>
        <w:rPr>
          <w:rStyle w:val="Fuerte"/>
          <w:rFonts w:ascii="Segoe UI" w:hAnsi="Segoe UI" w:cs="Segoe UI"/>
          <w:sz w:val="20"/>
          <w:szCs w:val="20"/>
          <w:lang w:val="es-ES"/>
        </w:rPr>
        <w:t>quién firmó</w:t>
      </w:r>
      <w:r>
        <w:rPr>
          <w:rFonts w:ascii="Segoe UI" w:hAnsi="Segoe UI" w:cs="Segoe UI"/>
          <w:color w:val="1C2333"/>
          <w:sz w:val="20"/>
          <w:szCs w:val="20"/>
          <w:lang w:val="es-ES"/>
        </w:rPr>
        <w:t>, porque el formulario del TAG es público y el nombre lo escribe la propia persona.</w:t>
      </w:r>
    </w:p>
    <w:p w14:paraId="21D410F3" w14:textId="77777777" w:rsidR="00555C69" w:rsidRDefault="00555C69">
      <w:pPr>
        <w:pStyle w:val="NormalWeb"/>
        <w:rPr>
          <w:rFonts w:ascii="Segoe UI" w:hAnsi="Segoe UI" w:cs="Segoe UI"/>
          <w:color w:val="1C2333"/>
          <w:sz w:val="20"/>
          <w:szCs w:val="20"/>
          <w:lang w:val="es-ES"/>
        </w:rPr>
      </w:pPr>
      <w:r>
        <w:rPr>
          <w:rFonts w:ascii="Segoe UI" w:hAnsi="Segoe UI" w:cs="Segoe UI"/>
          <w:color w:val="1C2333"/>
          <w:sz w:val="20"/>
          <w:szCs w:val="20"/>
          <w:lang w:val="es-ES"/>
        </w:rPr>
        <w:t>En el trámite del TAG ese hueco se cierra solo: el titular acude a pagar en Administración y vuelve a presentarse para que Sistemas instale el TAG y coteje el vehículo. Son dos encuentros presenciales que ninguna firma electrónica necesita reemplazar.</w:t>
      </w:r>
    </w:p>
    <w:p w14:paraId="5F9AFA90" w14:textId="77777777" w:rsidR="00555C69" w:rsidRDefault="00555C69">
      <w:pPr>
        <w:pStyle w:val="NormalWeb"/>
        <w:rPr>
          <w:rFonts w:ascii="Segoe UI" w:hAnsi="Segoe UI" w:cs="Segoe UI"/>
          <w:color w:val="1C2333"/>
          <w:sz w:val="20"/>
          <w:szCs w:val="20"/>
          <w:lang w:val="es-ES"/>
        </w:rPr>
      </w:pPr>
      <w:r>
        <w:rPr>
          <w:rStyle w:val="Fuerte"/>
          <w:rFonts w:ascii="Segoe UI" w:hAnsi="Segoe UI" w:cs="Segoe UI"/>
          <w:sz w:val="20"/>
          <w:szCs w:val="20"/>
          <w:lang w:val="es-ES"/>
        </w:rPr>
        <w:t>En los documentos del handbook no existe ese contrapeso</w:t>
      </w:r>
      <w:r>
        <w:rPr>
          <w:rFonts w:ascii="Segoe UI" w:hAnsi="Segoe UI" w:cs="Segoe UI"/>
          <w:color w:val="1C2333"/>
          <w:sz w:val="20"/>
          <w:szCs w:val="20"/>
          <w:lang w:val="es-ES"/>
        </w:rPr>
        <w:t>, porque se firmarían a distancia y por ambos tutores. Por eso ahí se propone algo más: que el enlace para firmar llegue al correo que el sistema escolar tiene registrado, con un código de un solo uso. Con eso la ley sí concede una presunción de que el mensaje proviene de esa persona.</w:t>
      </w:r>
    </w:p>
    <w:p w14:paraId="578B60AB" w14:textId="77777777" w:rsidR="00555C69" w:rsidRDefault="00555C69">
      <w:pPr>
        <w:pStyle w:val="Ttulo2"/>
        <w:rPr>
          <w:rFonts w:ascii="Segoe UI" w:eastAsia="Times New Roman" w:hAnsi="Segoe UI" w:cs="Segoe UI"/>
          <w:lang w:val="es-ES"/>
        </w:rPr>
      </w:pPr>
      <w:r>
        <w:rPr>
          <w:rFonts w:ascii="Segoe UI" w:eastAsia="Times New Roman" w:hAnsi="Segoe UI" w:cs="Segoe UI"/>
          <w:lang w:val="es-ES"/>
        </w:rPr>
        <w:lastRenderedPageBreak/>
        <w:t>Qué cuesta reforzarlo</w:t>
      </w:r>
    </w:p>
    <w:p w14:paraId="190871B7" w14:textId="77777777" w:rsidR="00555C69" w:rsidRDefault="00555C6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Existe una constancia emitida por un tercero acreditado por la Secretaría de Economía, que certifica que un documento existía en cierta fecha y no se alteró. </w:t>
      </w:r>
      <w:r>
        <w:rPr>
          <w:rStyle w:val="Fuerte"/>
          <w:rFonts w:ascii="Segoe UI" w:hAnsi="Segoe UI" w:cs="Segoe UI"/>
          <w:sz w:val="20"/>
          <w:szCs w:val="20"/>
          <w:lang w:val="es-ES"/>
        </w:rPr>
        <w:t>No es obligatoria</w:t>
      </w:r>
      <w:r>
        <w:rPr>
          <w:rFonts w:ascii="Segoe UI" w:hAnsi="Segoe UI" w:cs="Segoe UI"/>
          <w:color w:val="1C2333"/>
          <w:sz w:val="20"/>
          <w:szCs w:val="20"/>
          <w:lang w:val="es-ES"/>
        </w:rPr>
        <w:t xml:space="preserve"> para el Instituto: esa norma obliga a comerciantes, y el Instituto es una asociación civil.</w:t>
      </w:r>
    </w:p>
    <w:tbl>
      <w:tblPr>
        <w:tblW w:w="5000" w:type="pct"/>
        <w:tblCellMar>
          <w:top w:w="15" w:type="dxa"/>
          <w:left w:w="15" w:type="dxa"/>
          <w:bottom w:w="15" w:type="dxa"/>
          <w:right w:w="15" w:type="dxa"/>
        </w:tblCellMar>
        <w:tblLook w:val="04A0" w:firstRow="1" w:lastRow="0" w:firstColumn="1" w:lastColumn="0" w:noHBand="0" w:noVBand="1"/>
      </w:tblPr>
      <w:tblGrid>
        <w:gridCol w:w="5142"/>
        <w:gridCol w:w="4842"/>
      </w:tblGrid>
      <w:tr w:rsidR="00000000" w:rsidRPr="007E0841" w14:paraId="1CE07DD6" w14:textId="77777777" w:rsidTr="007E0841">
        <w:trPr>
          <w:cantSplit/>
          <w:tblHeader/>
        </w:trPr>
        <w:tc>
          <w:tcPr>
            <w:tcW w:w="2575"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3FF3B0A" w14:textId="77777777" w:rsidR="00555C69" w:rsidRPr="007E0841" w:rsidRDefault="00555C69">
            <w:pPr>
              <w:spacing w:before="120" w:after="180"/>
              <w:rPr>
                <w:rFonts w:ascii="Segoe UI" w:eastAsia="Times New Roman" w:hAnsi="Segoe UI" w:cs="Segoe UI"/>
                <w:b/>
                <w:bCs/>
                <w:color w:val="FFFFFF"/>
                <w:sz w:val="17"/>
                <w:szCs w:val="18"/>
              </w:rPr>
            </w:pPr>
            <w:r w:rsidRPr="007E0841">
              <w:rPr>
                <w:rFonts w:ascii="Segoe UI" w:eastAsia="Times New Roman" w:hAnsi="Segoe UI" w:cs="Segoe UI"/>
                <w:b/>
                <w:bCs/>
                <w:color w:val="FFFFFF"/>
                <w:sz w:val="17"/>
                <w:szCs w:val="18"/>
              </w:rPr>
              <w:t>opción</w:t>
            </w:r>
          </w:p>
        </w:tc>
        <w:tc>
          <w:tcPr>
            <w:tcW w:w="2425"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2188EC5D" w14:textId="77777777" w:rsidR="00555C69" w:rsidRPr="007E0841" w:rsidRDefault="00555C69">
            <w:pPr>
              <w:spacing w:before="120" w:after="180"/>
              <w:rPr>
                <w:rFonts w:ascii="Segoe UI" w:eastAsia="Times New Roman" w:hAnsi="Segoe UI" w:cs="Segoe UI"/>
                <w:b/>
                <w:bCs/>
                <w:color w:val="FFFFFF"/>
                <w:sz w:val="17"/>
                <w:szCs w:val="18"/>
              </w:rPr>
            </w:pPr>
            <w:r w:rsidRPr="007E0841">
              <w:rPr>
                <w:rFonts w:ascii="Segoe UI" w:eastAsia="Times New Roman" w:hAnsi="Segoe UI" w:cs="Segoe UI"/>
                <w:b/>
                <w:bCs/>
                <w:color w:val="FFFFFF"/>
                <w:sz w:val="17"/>
                <w:szCs w:val="18"/>
              </w:rPr>
              <w:t>costo de referencia</w:t>
            </w:r>
          </w:p>
        </w:tc>
      </w:tr>
      <w:tr w:rsidR="00000000" w:rsidRPr="007E0841" w14:paraId="1AD442B7" w14:textId="77777777" w:rsidTr="007E0841">
        <w:trPr>
          <w:cantSplit/>
        </w:trPr>
        <w:tc>
          <w:tcPr>
            <w:tcW w:w="2575"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B482A3F" w14:textId="77777777" w:rsidR="00555C69" w:rsidRPr="007E0841" w:rsidRDefault="00555C69">
            <w:pPr>
              <w:spacing w:before="120" w:after="180"/>
              <w:rPr>
                <w:rFonts w:ascii="Segoe UI" w:eastAsia="Times New Roman" w:hAnsi="Segoe UI" w:cs="Segoe UI"/>
                <w:color w:val="1C2333"/>
                <w:sz w:val="17"/>
                <w:szCs w:val="18"/>
              </w:rPr>
            </w:pPr>
            <w:r w:rsidRPr="007E0841">
              <w:rPr>
                <w:rFonts w:ascii="Segoe UI" w:eastAsia="Times New Roman" w:hAnsi="Segoe UI" w:cs="Segoe UI"/>
                <w:color w:val="1C2333"/>
                <w:sz w:val="17"/>
                <w:szCs w:val="18"/>
              </w:rPr>
              <w:t>Una constancia por documento firmado</w:t>
            </w:r>
          </w:p>
        </w:tc>
        <w:tc>
          <w:tcPr>
            <w:tcW w:w="2425"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A8992DF" w14:textId="77777777" w:rsidR="00555C69" w:rsidRPr="007E0841" w:rsidRDefault="00555C69">
            <w:pPr>
              <w:spacing w:before="120" w:after="180"/>
              <w:rPr>
                <w:rFonts w:ascii="Segoe UI" w:eastAsia="Times New Roman" w:hAnsi="Segoe UI" w:cs="Segoe UI"/>
                <w:color w:val="1C2333"/>
                <w:sz w:val="17"/>
                <w:szCs w:val="18"/>
              </w:rPr>
            </w:pPr>
            <w:r w:rsidRPr="007E0841">
              <w:rPr>
                <w:rFonts w:ascii="Segoe UI" w:eastAsia="Times New Roman" w:hAnsi="Segoe UI" w:cs="Segoe UI"/>
                <w:color w:val="1C2333"/>
                <w:sz w:val="17"/>
                <w:szCs w:val="18"/>
              </w:rPr>
              <w:t>entre 14 y 90 pesos cada una</w:t>
            </w:r>
          </w:p>
        </w:tc>
      </w:tr>
      <w:tr w:rsidR="00000000" w:rsidRPr="007E0841" w14:paraId="59505502" w14:textId="77777777" w:rsidTr="007E0841">
        <w:trPr>
          <w:cantSplit/>
        </w:trPr>
        <w:tc>
          <w:tcPr>
            <w:tcW w:w="2575"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C1027D1" w14:textId="77777777" w:rsidR="00555C69" w:rsidRPr="007E0841" w:rsidRDefault="00555C69">
            <w:pPr>
              <w:spacing w:before="120" w:after="180"/>
              <w:rPr>
                <w:rFonts w:ascii="Segoe UI" w:eastAsia="Times New Roman" w:hAnsi="Segoe UI" w:cs="Segoe UI"/>
                <w:color w:val="1C2333"/>
                <w:sz w:val="17"/>
                <w:szCs w:val="18"/>
              </w:rPr>
            </w:pPr>
            <w:r w:rsidRPr="007E0841">
              <w:rPr>
                <w:rFonts w:ascii="Segoe UI" w:eastAsia="Times New Roman" w:hAnsi="Segoe UI" w:cs="Segoe UI"/>
                <w:color w:val="1C2333"/>
                <w:sz w:val="17"/>
                <w:szCs w:val="18"/>
              </w:rPr>
              <w:t>Una constancia diaria que ampara todo el lote</w:t>
            </w:r>
          </w:p>
        </w:tc>
        <w:tc>
          <w:tcPr>
            <w:tcW w:w="2425"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2D465BF" w14:textId="77777777" w:rsidR="00555C69" w:rsidRPr="007E0841" w:rsidRDefault="00555C69">
            <w:pPr>
              <w:spacing w:before="120" w:after="180"/>
              <w:rPr>
                <w:rFonts w:ascii="Segoe UI" w:eastAsia="Times New Roman" w:hAnsi="Segoe UI" w:cs="Segoe UI"/>
                <w:color w:val="1C2333"/>
                <w:sz w:val="17"/>
                <w:szCs w:val="18"/>
              </w:rPr>
            </w:pPr>
            <w:r w:rsidRPr="007E0841">
              <w:rPr>
                <w:rFonts w:ascii="Segoe UI" w:eastAsia="Times New Roman" w:hAnsi="Segoe UI" w:cs="Segoe UI"/>
                <w:color w:val="1C2333"/>
                <w:sz w:val="17"/>
                <w:szCs w:val="18"/>
              </w:rPr>
              <w:t>del orden de cientos a dos mil pesos al año</w:t>
            </w:r>
          </w:p>
        </w:tc>
      </w:tr>
    </w:tbl>
    <w:p w14:paraId="79DA1B0B" w14:textId="77777777" w:rsidR="00555C69" w:rsidRDefault="00555C6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Son precios de mercado tomados de la investigación, sin cotización formal todavía. El tercero recibe únicamente la huella digital del documento: </w:t>
      </w:r>
      <w:r>
        <w:rPr>
          <w:rStyle w:val="Fuerte"/>
          <w:rFonts w:ascii="Segoe UI" w:hAnsi="Segoe UI" w:cs="Segoe UI"/>
          <w:sz w:val="20"/>
          <w:szCs w:val="20"/>
          <w:lang w:val="es-ES"/>
        </w:rPr>
        <w:t>no se le entregan datos personales de ninguna familia</w:t>
      </w:r>
      <w:r>
        <w:rPr>
          <w:rFonts w:ascii="Segoe UI" w:hAnsi="Segoe UI" w:cs="Segoe UI"/>
          <w:color w:val="1C2333"/>
          <w:sz w:val="20"/>
          <w:szCs w:val="20"/>
          <w:lang w:val="es-ES"/>
        </w:rPr>
        <w:t>.</w:t>
      </w:r>
    </w:p>
    <w:p w14:paraId="3F4C75B9" w14:textId="77777777" w:rsidR="00555C69" w:rsidRDefault="00555C69">
      <w:pPr>
        <w:pStyle w:val="Ttulo2"/>
        <w:rPr>
          <w:rFonts w:ascii="Segoe UI" w:eastAsia="Times New Roman" w:hAnsi="Segoe UI" w:cs="Segoe UI"/>
          <w:lang w:val="es-ES"/>
        </w:rPr>
      </w:pPr>
      <w:r>
        <w:rPr>
          <w:rFonts w:ascii="Segoe UI" w:eastAsia="Times New Roman" w:hAnsi="Segoe UI" w:cs="Segoe UI"/>
          <w:lang w:val="es-ES"/>
        </w:rPr>
        <w:t>Lo que se le pide al abogado</w:t>
      </w:r>
    </w:p>
    <w:p w14:paraId="734D1671" w14:textId="77777777" w:rsidR="00555C69" w:rsidRDefault="00555C69">
      <w:pPr>
        <w:pStyle w:val="NormalWeb"/>
        <w:rPr>
          <w:rFonts w:ascii="Segoe UI" w:hAnsi="Segoe UI" w:cs="Segoe UI"/>
          <w:color w:val="1C2333"/>
          <w:sz w:val="20"/>
          <w:szCs w:val="20"/>
          <w:lang w:val="es-ES"/>
        </w:rPr>
      </w:pPr>
      <w:r>
        <w:rPr>
          <w:rFonts w:ascii="Segoe UI" w:hAnsi="Segoe UI" w:cs="Segoe UI"/>
          <w:color w:val="1C2333"/>
          <w:sz w:val="20"/>
          <w:szCs w:val="20"/>
          <w:lang w:val="es-ES"/>
        </w:rPr>
        <w:t>Siete preguntas, redactadas para responderse con un sí, un no o una elección entre opciones. Las dos que corren prisa:</w:t>
      </w:r>
    </w:p>
    <w:p w14:paraId="6F62DDE4" w14:textId="77777777" w:rsidR="00555C69" w:rsidRDefault="00555C69">
      <w:pPr>
        <w:numPr>
          <w:ilvl w:val="0"/>
          <w:numId w:val="2"/>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¿Basta la firma actual para el reglamento de estacionamiento</w:t>
      </w:r>
      <w:r>
        <w:rPr>
          <w:rFonts w:ascii="Segoe UI" w:eastAsia="Times New Roman" w:hAnsi="Segoe UI" w:cs="Segoe UI"/>
          <w:color w:val="1C2333"/>
          <w:sz w:val="20"/>
          <w:szCs w:val="20"/>
          <w:lang w:val="es-ES"/>
        </w:rPr>
        <w:t>, considerando que el trámite se completa en persona? SATAG sale a producción el lunes 14 con ese mecanismo. Si la respuesta obliga a cambiarlo, se reprograma.</w:t>
      </w:r>
    </w:p>
    <w:p w14:paraId="3EE762F2" w14:textId="77777777" w:rsidR="00555C69" w:rsidRDefault="00555C69">
      <w:pPr>
        <w:numPr>
          <w:ilvl w:val="0"/>
          <w:numId w:val="2"/>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Para el handbook, ¿exige verificación de identidad contra documento oficial</w:t>
      </w:r>
      <w:r>
        <w:rPr>
          <w:rFonts w:ascii="Segoe UI" w:eastAsia="Times New Roman" w:hAnsi="Segoe UI" w:cs="Segoe UI"/>
          <w:color w:val="1C2333"/>
          <w:sz w:val="20"/>
          <w:szCs w:val="20"/>
          <w:lang w:val="es-ES"/>
        </w:rPr>
        <w:t>, o basta el correo registrado con código de un solo uso? De esa respuesta depende si el sistema de firmas se construye sin costo por firma o con un proveedor que cobra por cada una.</w:t>
      </w:r>
    </w:p>
    <w:p w14:paraId="4DCBC624" w14:textId="77777777" w:rsidR="00555C69" w:rsidRDefault="00555C69">
      <w:pPr>
        <w:pStyle w:val="NormalWeb"/>
        <w:rPr>
          <w:rFonts w:ascii="Segoe UI" w:hAnsi="Segoe UI" w:cs="Segoe UI"/>
          <w:color w:val="1C2333"/>
          <w:sz w:val="20"/>
          <w:szCs w:val="20"/>
          <w:lang w:val="es-ES"/>
        </w:rPr>
      </w:pPr>
      <w:r>
        <w:rPr>
          <w:rFonts w:ascii="Segoe UI" w:hAnsi="Segoe UI" w:cs="Segoe UI"/>
          <w:color w:val="1C2333"/>
          <w:sz w:val="20"/>
          <w:szCs w:val="20"/>
          <w:lang w:val="es-ES"/>
        </w:rPr>
        <w:t>Las otras cinco tratan del plazo de conservación, del trato que debe darse a la firma como dato personal, de la redacción de la cláusula de aceptación electrónica, de la constancia de conservación y de cómo firman los tutores de un menor. Están todas en la sección 6 del documento anexo, cada una con su contexto y con lo que Sistemas hará según la respuesta.</w:t>
      </w:r>
    </w:p>
    <w:p w14:paraId="1D7D1FF5" w14:textId="77777777" w:rsidR="00555C69" w:rsidRDefault="00555C69">
      <w:pPr>
        <w:pStyle w:val="Ttulo2"/>
        <w:rPr>
          <w:rFonts w:ascii="Segoe UI" w:eastAsia="Times New Roman" w:hAnsi="Segoe UI" w:cs="Segoe UI"/>
          <w:lang w:val="es-ES"/>
        </w:rPr>
      </w:pPr>
      <w:r>
        <w:rPr>
          <w:rFonts w:ascii="Segoe UI" w:eastAsia="Times New Roman" w:hAnsi="Segoe UI" w:cs="Segoe UI"/>
          <w:lang w:val="es-ES"/>
        </w:rPr>
        <w:t>Lo que no requiere al abogado</w:t>
      </w:r>
    </w:p>
    <w:p w14:paraId="643FBB6A" w14:textId="77777777" w:rsidR="00555C69" w:rsidRDefault="00555C69">
      <w:pPr>
        <w:pStyle w:val="NormalWeb"/>
        <w:rPr>
          <w:rFonts w:ascii="Segoe UI" w:hAnsi="Segoe UI" w:cs="Segoe UI"/>
          <w:color w:val="1C2333"/>
          <w:sz w:val="20"/>
          <w:szCs w:val="20"/>
          <w:lang w:val="es-ES"/>
        </w:rPr>
      </w:pPr>
      <w:r>
        <w:rPr>
          <w:rFonts w:ascii="Segoe UI" w:hAnsi="Segoe UI" w:cs="Segoe UI"/>
          <w:color w:val="1C2333"/>
          <w:sz w:val="20"/>
          <w:szCs w:val="20"/>
          <w:lang w:val="es-ES"/>
        </w:rPr>
        <w:t>Ninguna de las siete preguntas obliga a revisar código. Todo está descrito en texto. Si el abogado quiere ver una firma real y su evidencia, Sistemas se la muestra en pantalla en cinco minutos.</w:t>
      </w:r>
    </w:p>
    <w:sectPr w:rsidR="00555C69" w:rsidSect="007E0841">
      <w:pgSz w:w="12240" w:h="15840"/>
      <w:pgMar w:top="1120" w:right="1120" w:bottom="1120" w:left="11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95D0E"/>
    <w:multiLevelType w:val="multilevel"/>
    <w:tmpl w:val="42B6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B025FB"/>
    <w:multiLevelType w:val="multilevel"/>
    <w:tmpl w:val="AD5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787267">
    <w:abstractNumId w:val="1"/>
  </w:num>
  <w:num w:numId="2" w16cid:durableId="766265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0841"/>
    <w:rsid w:val="0008448F"/>
    <w:rsid w:val="00555C69"/>
    <w:rsid w:val="007E08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6D890"/>
  <w15:chartTrackingRefBased/>
  <w15:docId w15:val="{0B250284-9136-49DF-A6A6-EB33FD8C5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5" w:color="1F6F4A"/>
      </w:pBdr>
      <w:spacing w:after="150"/>
      <w:outlineLvl w:val="0"/>
    </w:pPr>
    <w:rPr>
      <w:b/>
      <w:bCs/>
      <w:color w:val="101D35"/>
      <w:kern w:val="36"/>
      <w:sz w:val="36"/>
      <w:szCs w:val="36"/>
    </w:rPr>
  </w:style>
  <w:style w:type="paragraph" w:styleId="Ttulo2">
    <w:name w:val="heading 2"/>
    <w:basedOn w:val="Normal"/>
    <w:link w:val="Ttulo2Car"/>
    <w:uiPriority w:val="9"/>
    <w:qFormat/>
    <w:pPr>
      <w:keepNext/>
      <w:pBdr>
        <w:left w:val="single" w:sz="36" w:space="6" w:color="1F6F4A"/>
      </w:pBdr>
      <w:spacing w:before="300" w:after="120"/>
      <w:outlineLvl w:val="1"/>
    </w:pPr>
    <w:rPr>
      <w:b/>
      <w:bCs/>
      <w:color w:val="101D35"/>
      <w:sz w:val="27"/>
      <w:szCs w:val="27"/>
    </w:rPr>
  </w:style>
  <w:style w:type="paragraph" w:styleId="Ttulo3">
    <w:name w:val="heading 3"/>
    <w:basedOn w:val="Normal"/>
    <w:link w:val="Ttulo3Car"/>
    <w:uiPriority w:val="9"/>
    <w:qFormat/>
    <w:pPr>
      <w:keepNext/>
      <w:spacing w:before="210" w:after="90"/>
      <w:outlineLvl w:val="2"/>
    </w:pPr>
    <w:rPr>
      <w:b/>
      <w:bCs/>
      <w:color w:val="1F6F4A"/>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EEF1F5"/>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styleId="Fuerte">
    <w:name w:val="Strong"/>
    <w:basedOn w:val="Fuentedeprrafopredeter"/>
    <w:uiPriority w:val="22"/>
    <w:qFormat/>
    <w:rPr>
      <w:b/>
      <w:bCs/>
      <w:color w:val="101D3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639</Words>
  <Characters>3515</Characters>
  <Application>Microsoft Office Word</Application>
  <DocSecurity>4</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E6 - Nota para la Gerencia - Firma electronica (11-sep-2026)</dc:title>
  <dc:subject/>
  <dc:creator>Diego Gerardo Sánchez Moreno</dc:creator>
  <cp:keywords/>
  <dc:description/>
  <cp:lastModifiedBy>Diego Gerardo Sánchez Moreno</cp:lastModifiedBy>
  <cp:revision>2</cp:revision>
  <dcterms:created xsi:type="dcterms:W3CDTF">2026-09-10T14:58:00Z</dcterms:created>
  <dcterms:modified xsi:type="dcterms:W3CDTF">2026-09-10T14:58:00Z</dcterms:modified>
</cp:coreProperties>
</file>