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ships and operates workflow systems for live businesses, backed by a UBC electrical-engineering foundation. Experience spans production n8n automation, self-hosted data infrastructure, multi-agent orchestration, client operations, and field coordination. Runs two businesses while completing an MBA, bringing a practical understanding of ambiguous workflows, operational constraints, and the tradeoffs between an agent, an integration, and a simpler script.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Automation:</w:t>
      </w:r>
      <w:r>
        <w:t xml:space="preserve"> Python, TypeScript/JavaScript, n8n, multi-agent orchestration, Claude Code skills, MCP configuration, Ollama local inference</w:t>
      </w:r>
    </w:p>
    <w:p>
      <w:r/>
      <w:r>
        <w:rPr>
          <w:b/>
        </w:rPr>
        <w:t>Systems &amp; Data:</w:t>
      </w:r>
      <w:r>
        <w:t xml:space="preserve"> SQL, PostgreSQL, self-hosted Supabase, hand-written row-level security policies, Docker, Docker Compose, REST APIs, webhooks</w:t>
      </w:r>
    </w:p>
    <w:p>
      <w:r/>
      <w:r>
        <w:rPr>
          <w:b/>
        </w:rPr>
        <w:t>Cloud &amp; Quality:</w:t>
      </w:r>
      <w:r>
        <w:t xml:space="preserve"> Cloudflare Workers, Pages, Tunnel, Wrangler, Playwright, pytest, Vitest, accessibility and security verification</w:t>
      </w:r>
    </w:p>
    <w:p>
      <w:r/>
      <w:r>
        <w:rPr>
          <w:b/>
        </w:rPr>
        <w:t>Operations &amp; Engineering:</w:t>
      </w:r>
      <w:r>
        <w:t xml:space="preserve"> Workflow scoping, live-client support, field-team coordination, AutoCAD, material take-offs, FTTN/FTTH infrastructure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 live multi-tenant n8n workflow set that answers prospective-student questions and routes leads for two production clients.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Next.js and TypeScript CRM, using self-hosted Supabase/PostgreSQL, hand-written RLS migrations, Docker Compose, and local Ollama inference.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Review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risk-graded R0–R5 workflow that routes work among Claude Opus, Claude Sonnet, and Codex according to defined implementation and review roles.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supporting Claude Code skills for routing work, drafting prompts, onboarding universities, and reviewing solutions within the governed production process.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— Operations and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customized fork of an open-source AI-operations hub as the backbone of an education-consulting business, alongside a production Astro, TypeScript, and Tailwind site deployed through Cloudflare Pages and Wrangler.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Built an original Claude-to-Codex bridge with ask, review, and implement modes, a single-writer lock, durable run logs, and an external SEO MCP data source.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&amp; NBFC — Business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Run two concurrent businesses spanning education consulting and Indian non-banking financial services, providing direct exposure to operating workflows, P&amp;L considerations, lending and ledger processes, and regulatory constraints.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AutoCAD-based pathway and routing designs, material take-offs, and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Interpreted site surveys and coordinated field teams during installation and commissioning across Vancouver, rural Alberta, and Vancouver Island infrastructure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the Granville-Broadway ICT upgrade, rural-Alberta telecom backbone expansion, and Tofino/Campbell River fiber backbone upgrade.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valid through June 6, 2027; authorized to work for any employer in Canada.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