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D8D7A"/>
          <w:sz w:val="48"/>
          <w:szCs w:val="48"/>
        </w:rPr>
        <w:t xml:space="preserve">AIROLA</w:t>
      </w:r>
    </w:p>
    <w:p>
      <w:pPr>
        <w:spacing w:after="40"/>
        <w:jc w:val="center"/>
      </w:pPr>
      <w:r>
        <w:rPr>
          <w:b/>
          <w:bCs/>
          <w:color w:val="1E2A32"/>
          <w:sz w:val="28"/>
          <w:szCs w:val="28"/>
        </w:rPr>
        <w:t xml:space="preserve">CLEANING SERVICES AGREEMENT</w:t>
      </w:r>
    </w:p>
    <w:p>
      <w:pPr>
        <w:spacing w:after="300"/>
        <w:jc w:val="center"/>
      </w:pPr>
      <w:r>
        <w:rPr>
          <w:color w:val="6B7280"/>
          <w:sz w:val="18"/>
          <w:szCs w:val="18"/>
        </w:rPr>
        <w:t xml:space="preserve">Airola · East London · contact@airola.co.uk · +44 7925 123219</w:t>
      </w:r>
    </w:p>
    <w:p>
      <w:pPr>
        <w:spacing w:after="120"/>
      </w:pPr>
      <w:r>
        <w:rPr>
          <w:sz w:val="22"/>
          <w:szCs w:val="22"/>
        </w:rPr>
        <w:t xml:space="preserve">This agreement sets out the terms on which Airola (“we”, “us”) provides cleaning services to the client named below (“you”). It applies to the booking described below and to all future bookings between us unless we agree otherwise in writing.</w:t>
      </w:r>
    </w:p>
    <w:p>
      <w:pPr>
        <w:pStyle w:val="Heading1"/>
        <w:spacing w:after="160" w:before="300"/>
      </w:pPr>
      <w:r>
        <w:rPr>
          <w:b/>
          <w:bCs/>
          <w:color w:val="3D8D7A"/>
        </w:rPr>
        <w:t xml:space="preserve">1. Parties and Property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EBF7F4" w:val="clear"/>
            <w:tcMar>
              <w:top w:type="dxa" w:w="80"/>
              <w:left w:type="dxa" w:w="120"/>
              <w:bottom w:type="dxa" w:w="80"/>
              <w:right w:type="dxa" w:w="120"/>
            </w:tcMar>
          </w:tcPr>
          <w:p>
            <w:r>
              <w:rPr>
                <w:b/>
                <w:bCs/>
                <w:sz w:val="20"/>
                <w:szCs w:val="20"/>
              </w:rPr>
              <w:t xml:space="preserve">Client name</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Client phone / email</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Property address</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Property size (beds/baths)</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Service booked</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Agreed price (£)</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Date of first clean</w:t>
            </w:r>
          </w:p>
        </w:tc>
        <w:tc>
          <w:tcPr>
            <w:tcW w:type="dxa" w:w="6800"/>
            <w:tcMar>
              <w:top w:type="dxa" w:w="80"/>
              <w:left w:type="dxa" w:w="120"/>
              <w:bottom w:type="dxa" w:w="80"/>
              <w:right w:type="dxa" w:w="120"/>
            </w:tcMar>
          </w:tcPr>
          <w:p>
            <w:r>
              <w:rPr>
                <w:b w:val="false"/>
                <w:bCs w:val="false"/>
                <w:sz w:val="20"/>
                <w:szCs w:val="20"/>
              </w:rPr>
              <w:t xml:space="preserve"> </w:t>
            </w:r>
          </w:p>
        </w:tc>
      </w:tr>
    </w:tbl>
    <w:p>
      <w:pPr>
        <w:spacing w:after="120" w:before="120"/>
      </w:pPr>
      <w:r>
        <w:rPr>
          <w:sz w:val="22"/>
          <w:szCs w:val="22"/>
        </w:rPr>
        <w:t xml:space="preserve"/>
      </w:r>
    </w:p>
    <w:p>
      <w:pPr>
        <w:pStyle w:val="Heading1"/>
        <w:spacing w:after="160" w:before="300"/>
      </w:pPr>
      <w:r>
        <w:rPr>
          <w:b/>
          <w:bCs/>
          <w:color w:val="3D8D7A"/>
        </w:rPr>
        <w:t xml:space="preserve">2. Scope of Work</w:t>
      </w:r>
    </w:p>
    <w:p>
      <w:pPr>
        <w:spacing w:after="120"/>
      </w:pPr>
      <w:r>
        <w:rPr>
          <w:sz w:val="22"/>
          <w:szCs w:val="22"/>
        </w:rPr>
        <w:t xml:space="preserve">2.1  The service covers only the tasks listed for the booked package in Annex A. Anything not listed there is not included.</w:t>
      </w:r>
    </w:p>
    <w:p>
      <w:pPr>
        <w:spacing w:after="120"/>
      </w:pPr>
      <w:r>
        <w:rPr>
          <w:sz w:val="22"/>
          <w:szCs w:val="22"/>
        </w:rPr>
        <w:t xml:space="preserve">2.2  The following are never included in a turnover clean and require a separate quote: end-of-tenancy cleaning, deep cleaning, removal of heavy or built-up dirt from neglect, mould treatment, carpet shampooing, exterior windows, cleaning after building work, and properties left in an exceptional state (for example after parties or long unmanaged tenancies).</w:t>
      </w:r>
    </w:p>
    <w:p>
      <w:pPr>
        <w:spacing w:after="120"/>
      </w:pPr>
      <w:r>
        <w:rPr>
          <w:sz w:val="22"/>
          <w:szCs w:val="22"/>
        </w:rPr>
        <w:t xml:space="preserve">2.3  If, on arrival, the property’s condition is materially different from what was described when booking, we will tell you before starting, with photos. We may then (a) proceed at a revised price agreed with you in writing, (b) carry out only the originally booked scope, or (c) decline the job, in which case a call-out fee of £25 applies.</w:t>
      </w:r>
    </w:p>
    <w:p>
      <w:pPr>
        <w:pStyle w:val="Heading1"/>
        <w:spacing w:after="160" w:before="300"/>
      </w:pPr>
      <w:r>
        <w:rPr>
          <w:b/>
          <w:bCs/>
          <w:color w:val="3D8D7A"/>
        </w:rPr>
        <w:t xml:space="preserve">3. Extra Work</w:t>
      </w:r>
    </w:p>
    <w:p>
      <w:pPr>
        <w:spacing w:after="120"/>
      </w:pPr>
      <w:r>
        <w:rPr>
          <w:sz w:val="22"/>
          <w:szCs w:val="22"/>
        </w:rPr>
        <w:t xml:space="preserve">3.1  Any work beyond the booked scope must be agreed in writing before it is carried out, including the price. A WhatsApp or text message exchange counts as “in writing”.</w:t>
      </w:r>
    </w:p>
    <w:p>
      <w:pPr>
        <w:spacing w:after="120"/>
      </w:pPr>
      <w:r>
        <w:rPr>
          <w:sz w:val="22"/>
          <w:szCs w:val="22"/>
        </w:rPr>
        <w:t xml:space="preserve">3.2  Extra work that was agreed in writing is payable in full, regardless of any later dispute about other parts of the job.</w:t>
      </w:r>
    </w:p>
    <w:p>
      <w:pPr>
        <w:pStyle w:val="Heading1"/>
        <w:spacing w:after="160" w:before="300"/>
      </w:pPr>
      <w:r>
        <w:rPr>
          <w:b/>
          <w:bCs/>
          <w:color w:val="3D8D7A"/>
        </w:rPr>
        <w:t xml:space="preserve">4. Price and Payment</w:t>
      </w:r>
    </w:p>
    <w:p>
      <w:pPr>
        <w:spacing w:after="120"/>
      </w:pPr>
      <w:r>
        <w:rPr>
          <w:sz w:val="22"/>
          <w:szCs w:val="22"/>
        </w:rPr>
        <w:t xml:space="preserve">4.1  The price is agreed in writing before the clean and is based on the property size and condition you describe.</w:t>
      </w:r>
    </w:p>
    <w:p>
      <w:pPr>
        <w:spacing w:after="120"/>
      </w:pPr>
      <w:r>
        <w:rPr>
          <w:sz w:val="22"/>
          <w:szCs w:val="22"/>
        </w:rPr>
        <w:t xml:space="preserve">4.2  New clients: the first booking is payable as follows — 50% when booking, and the balance on the day of the clean, after we send completion photos and before the next guest checks in.</w:t>
      </w:r>
    </w:p>
    <w:p>
      <w:pPr>
        <w:spacing w:after="120"/>
      </w:pPr>
      <w:r>
        <w:rPr>
          <w:sz w:val="22"/>
          <w:szCs w:val="22"/>
        </w:rPr>
        <w:t xml:space="preserve">4.3  Established clients: payment is due within 24 hours of receiving completion photos, unless we have agreed other terms in writing.</w:t>
      </w:r>
    </w:p>
    <w:p>
      <w:pPr>
        <w:spacing w:after="120"/>
      </w:pPr>
      <w:r>
        <w:rPr>
          <w:sz w:val="22"/>
          <w:szCs w:val="22"/>
        </w:rPr>
        <w:t xml:space="preserve">4.4  If payment is late, we may charge statutory interest and compensation under the Late Payment of Commercial Debts (Interest) Act 1998 where it applies, and we may pause future bookings until the account is settled.</w:t>
      </w:r>
    </w:p>
    <w:p>
      <w:pPr>
        <w:pStyle w:val="Heading1"/>
        <w:spacing w:after="160" w:before="300"/>
      </w:pPr>
      <w:r>
        <w:rPr>
          <w:b/>
          <w:bCs/>
          <w:color w:val="3D8D7A"/>
        </w:rPr>
        <w:t xml:space="preserve">5. Quality, Complaints and Re-Cleans</w:t>
      </w:r>
    </w:p>
    <w:p>
      <w:pPr>
        <w:spacing w:after="120"/>
      </w:pPr>
      <w:r>
        <w:rPr>
          <w:sz w:val="22"/>
          <w:szCs w:val="22"/>
        </w:rPr>
        <w:t xml:space="preserve">5.1  We photograph every completed clean and send the photos to you the same day. These photos are the agreed record of the state we left the property in.</w:t>
      </w:r>
    </w:p>
    <w:p>
      <w:pPr>
        <w:spacing w:after="120"/>
      </w:pPr>
      <w:r>
        <w:rPr>
          <w:sz w:val="22"/>
          <w:szCs w:val="22"/>
        </w:rPr>
        <w:t xml:space="preserve">5.2  If you are not satisfied with any part of the clean, you must tell us within 24 hours of receiving the completion photos, with photos of the specific problem areas.</w:t>
      </w:r>
    </w:p>
    <w:p>
      <w:pPr>
        <w:spacing w:after="120"/>
      </w:pPr>
      <w:r>
        <w:rPr>
          <w:sz w:val="22"/>
          <w:szCs w:val="22"/>
        </w:rPr>
        <w:t xml:space="preserve">5.3  Where a complaint is justified, your remedy is a free re-clean of the affected areas at the earliest opportunity, or a partial credit at our discretion. Dissatisfaction with part of a clean does not entitle you to withhold payment for the whole job. Payment remains due for work that was carried out.</w:t>
      </w:r>
    </w:p>
    <w:p>
      <w:pPr>
        <w:spacing w:after="120"/>
      </w:pPr>
      <w:r>
        <w:rPr>
          <w:sz w:val="22"/>
          <w:szCs w:val="22"/>
        </w:rPr>
        <w:t xml:space="preserve">5.4  Complaints raised after 24 hours, or after a guest has occupied the property, cannot reasonably be attributed to us and do not affect payment.</w:t>
      </w:r>
    </w:p>
    <w:p>
      <w:pPr>
        <w:pStyle w:val="Heading1"/>
        <w:spacing w:after="160" w:before="300"/>
      </w:pPr>
      <w:r>
        <w:rPr>
          <w:b/>
          <w:bCs/>
          <w:color w:val="3D8D7A"/>
        </w:rPr>
        <w:t xml:space="preserve">6. Access, Utilities and Keys</w:t>
      </w:r>
    </w:p>
    <w:p>
      <w:pPr>
        <w:spacing w:after="120"/>
      </w:pPr>
      <w:r>
        <w:rPr>
          <w:sz w:val="22"/>
          <w:szCs w:val="22"/>
        </w:rPr>
        <w:t xml:space="preserve">6.1  You are responsible for giving us access at the agreed time and for working electricity and hot water at the property.</w:t>
      </w:r>
    </w:p>
    <w:p>
      <w:pPr>
        <w:spacing w:after="120"/>
      </w:pPr>
      <w:r>
        <w:rPr>
          <w:sz w:val="22"/>
          <w:szCs w:val="22"/>
        </w:rPr>
        <w:t xml:space="preserve">6.2  If we cannot access the property within 30 minutes of the agreed time, the visit counts as a cancelled booking under clause 7 and a call-out fee of £25 applies.</w:t>
      </w:r>
    </w:p>
    <w:p>
      <w:pPr>
        <w:pStyle w:val="Heading1"/>
        <w:spacing w:after="160" w:before="300"/>
      </w:pPr>
      <w:r>
        <w:rPr>
          <w:b/>
          <w:bCs/>
          <w:color w:val="3D8D7A"/>
        </w:rPr>
        <w:t xml:space="preserve">7. Cancellation</w:t>
      </w:r>
    </w:p>
    <w:p>
      <w:pPr>
        <w:spacing w:after="120"/>
      </w:pPr>
      <w:r>
        <w:rPr>
          <w:sz w:val="22"/>
          <w:szCs w:val="22"/>
        </w:rPr>
        <w:t xml:space="preserve">7.1  You may cancel or reschedule free of charge with at least 24 hours’ notice.</w:t>
      </w:r>
    </w:p>
    <w:p>
      <w:pPr>
        <w:spacing w:after="120"/>
      </w:pPr>
      <w:r>
        <w:rPr>
          <w:sz w:val="22"/>
          <w:szCs w:val="22"/>
        </w:rPr>
        <w:t xml:space="preserve">7.2  Cancellation with less than 24 hours’ notice incurs 50% of the booked price. Cancellation after our team has travelled to the property incurs the full call-out fee of £25 in addition.</w:t>
      </w:r>
    </w:p>
    <w:p>
      <w:pPr>
        <w:pStyle w:val="Heading1"/>
        <w:spacing w:after="160" w:before="300"/>
      </w:pPr>
      <w:r>
        <w:rPr>
          <w:b/>
          <w:bCs/>
          <w:color w:val="3D8D7A"/>
        </w:rPr>
        <w:t xml:space="preserve">8. Damage and Liability</w:t>
      </w:r>
    </w:p>
    <w:p>
      <w:pPr>
        <w:spacing w:after="120"/>
      </w:pPr>
      <w:r>
        <w:rPr>
          <w:sz w:val="22"/>
          <w:szCs w:val="22"/>
        </w:rPr>
        <w:t xml:space="preserve">8.1  We hold public liability insurance. If you believe we have damaged something, tell us within 48 hours of the clean with photos, and we will put it right or claim on our insurance.</w:t>
      </w:r>
    </w:p>
    <w:p>
      <w:pPr>
        <w:spacing w:after="120"/>
      </w:pPr>
      <w:r>
        <w:rPr>
          <w:sz w:val="22"/>
          <w:szCs w:val="22"/>
        </w:rPr>
        <w:t xml:space="preserve">8.2  We are not liable for pre-existing damage, normal wear and tear, or faults we report to you. Our total liability for any clean is limited to the greater of the price of that clean or the amount recoverable under our insurance.</w:t>
      </w:r>
    </w:p>
    <w:p>
      <w:pPr>
        <w:pStyle w:val="Heading1"/>
        <w:spacing w:after="160" w:before="300"/>
      </w:pPr>
      <w:r>
        <w:rPr>
          <w:b/>
          <w:bCs/>
          <w:color w:val="3D8D7A"/>
        </w:rPr>
        <w:t xml:space="preserve">9. General</w:t>
      </w:r>
    </w:p>
    <w:p>
      <w:pPr>
        <w:spacing w:after="120"/>
      </w:pPr>
      <w:r>
        <w:rPr>
          <w:sz w:val="22"/>
          <w:szCs w:val="22"/>
        </w:rPr>
        <w:t xml:space="preserve">9.1  These terms, together with the written booking confirmation for each job, are the whole agreement between us.</w:t>
      </w:r>
    </w:p>
    <w:p>
      <w:pPr>
        <w:spacing w:after="120"/>
      </w:pPr>
      <w:r>
        <w:rPr>
          <w:sz w:val="22"/>
          <w:szCs w:val="22"/>
        </w:rPr>
        <w:t xml:space="preserve">9.2  This agreement is governed by the law of England and Wales, and the courts of England and Wales have exclusive jurisdiction.</w:t>
      </w:r>
    </w:p>
    <w:p>
      <w:pPr>
        <w:pStyle w:val="Heading1"/>
        <w:spacing w:after="160" w:before="300"/>
      </w:pPr>
      <w:r>
        <w:rPr>
          <w:b/>
          <w:bCs/>
          <w:color w:val="3D8D7A"/>
        </w:rPr>
        <w:t xml:space="preserve">Signatures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EBF7F4" w:val="clear"/>
            <w:tcMar>
              <w:top w:type="dxa" w:w="80"/>
              <w:left w:type="dxa" w:w="120"/>
              <w:bottom w:type="dxa" w:w="80"/>
              <w:right w:type="dxa" w:w="120"/>
            </w:tcMar>
          </w:tcPr>
          <w:p>
            <w:r>
              <w:rPr>
                <w:b/>
                <w:bCs/>
                <w:sz w:val="20"/>
                <w:szCs w:val="20"/>
              </w:rPr>
              <w:t xml:space="preserve">For Airola</w:t>
            </w:r>
          </w:p>
        </w:tc>
        <w:tc>
          <w:tcPr>
            <w:tcW w:type="dxa" w:w="4800"/>
            <w:shd w:fill="EBF7F4" w:val="clear"/>
            <w:tcMar>
              <w:top w:type="dxa" w:w="80"/>
              <w:left w:type="dxa" w:w="120"/>
              <w:bottom w:type="dxa" w:w="80"/>
              <w:right w:type="dxa" w:w="120"/>
            </w:tcMar>
          </w:tcPr>
          <w:p>
            <w:r>
              <w:rPr>
                <w:b/>
                <w:bCs/>
                <w:sz w:val="20"/>
                <w:szCs w:val="20"/>
              </w:rPr>
              <w:t xml:space="preserve">Client</w:t>
            </w:r>
          </w:p>
        </w:tc>
      </w:tr>
      <w:tr>
        <w:tc>
          <w:tcPr>
            <w:tcW w:type="dxa" w:w="4800"/>
            <w:tcMar>
              <w:top w:type="dxa" w:w="80"/>
              <w:left w:type="dxa" w:w="120"/>
              <w:bottom w:type="dxa" w:w="80"/>
              <w:right w:type="dxa" w:w="120"/>
            </w:tcMar>
          </w:tcPr>
          <w:p>
            <w:r>
              <w:rPr>
                <w:b w:val="false"/>
                <w:bCs w:val="false"/>
                <w:sz w:val="20"/>
                <w:szCs w:val="20"/>
              </w:rPr>
              <w:t xml:space="preserve">Name:</w:t>
            </w:r>
          </w:p>
        </w:tc>
        <w:tc>
          <w:tcPr>
            <w:tcW w:type="dxa" w:w="4800"/>
            <w:tcMar>
              <w:top w:type="dxa" w:w="80"/>
              <w:left w:type="dxa" w:w="120"/>
              <w:bottom w:type="dxa" w:w="80"/>
              <w:right w:type="dxa" w:w="120"/>
            </w:tcMar>
          </w:tcPr>
          <w:p>
            <w:r>
              <w:rPr>
                <w:b w:val="false"/>
                <w:bCs w:val="false"/>
                <w:sz w:val="20"/>
                <w:szCs w:val="20"/>
              </w:rPr>
              <w:t xml:space="preserve">Name:</w:t>
            </w:r>
          </w:p>
        </w:tc>
      </w:tr>
      <w:tr>
        <w:tc>
          <w:tcPr>
            <w:tcW w:type="dxa" w:w="4800"/>
            <w:tcMar>
              <w:top w:type="dxa" w:w="80"/>
              <w:left w:type="dxa" w:w="120"/>
              <w:bottom w:type="dxa" w:w="80"/>
              <w:right w:type="dxa" w:w="120"/>
            </w:tcMar>
          </w:tcPr>
          <w:p>
            <w:r>
              <w:rPr>
                <w:b w:val="false"/>
                <w:bCs w:val="false"/>
                <w:sz w:val="20"/>
                <w:szCs w:val="20"/>
              </w:rPr>
              <w:t xml:space="preserve">Signature:</w:t>
            </w:r>
          </w:p>
        </w:tc>
        <w:tc>
          <w:tcPr>
            <w:tcW w:type="dxa" w:w="4800"/>
            <w:tcMar>
              <w:top w:type="dxa" w:w="80"/>
              <w:left w:type="dxa" w:w="120"/>
              <w:bottom w:type="dxa" w:w="80"/>
              <w:right w:type="dxa" w:w="120"/>
            </w:tcMar>
          </w:tcPr>
          <w:p>
            <w:r>
              <w:rPr>
                <w:b w:val="false"/>
                <w:bCs w:val="false"/>
                <w:sz w:val="20"/>
                <w:szCs w:val="20"/>
              </w:rPr>
              <w:t xml:space="preserve">Signature:</w:t>
            </w:r>
          </w:p>
        </w:tc>
      </w:tr>
      <w:tr>
        <w:tc>
          <w:tcPr>
            <w:tcW w:type="dxa" w:w="4800"/>
            <w:tcMar>
              <w:top w:type="dxa" w:w="80"/>
              <w:left w:type="dxa" w:w="120"/>
              <w:bottom w:type="dxa" w:w="80"/>
              <w:right w:type="dxa" w:w="120"/>
            </w:tcMar>
          </w:tcPr>
          <w:p>
            <w:r>
              <w:rPr>
                <w:b w:val="false"/>
                <w:bCs w:val="false"/>
                <w:sz w:val="20"/>
                <w:szCs w:val="20"/>
              </w:rPr>
              <w:t xml:space="preserve">Date:</w:t>
            </w:r>
          </w:p>
        </w:tc>
        <w:tc>
          <w:tcPr>
            <w:tcW w:type="dxa" w:w="4800"/>
            <w:tcMar>
              <w:top w:type="dxa" w:w="80"/>
              <w:left w:type="dxa" w:w="120"/>
              <w:bottom w:type="dxa" w:w="80"/>
              <w:right w:type="dxa" w:w="120"/>
            </w:tcMar>
          </w:tcPr>
          <w:p>
            <w:r>
              <w:rPr>
                <w:b w:val="false"/>
                <w:bCs w:val="false"/>
                <w:sz w:val="20"/>
                <w:szCs w:val="20"/>
              </w:rPr>
              <w:t xml:space="preserve">Date:</w:t>
            </w:r>
          </w:p>
        </w:tc>
      </w:tr>
    </w:tbl>
    <w:p>
      <w:pPr>
        <w:pStyle w:val="Heading1"/>
        <w:pageBreakBefore/>
        <w:spacing w:after="160"/>
      </w:pPr>
      <w:r>
        <w:rPr>
          <w:b/>
          <w:bCs/>
          <w:color w:val="3D8D7A"/>
        </w:rPr>
        <w:t xml:space="preserve">Annex A — What Each Package Includes</w:t>
      </w:r>
    </w:p>
    <w:p>
      <w:pPr>
        <w:pStyle w:val="Heading2"/>
        <w:spacing w:after="120" w:before="260"/>
      </w:pPr>
      <w:r>
        <w:rPr>
          <w:b/>
          <w:bCs/>
          <w:color w:val="1E2A32"/>
        </w:rPr>
        <w:t xml:space="preserve">Starter Clean</w:t>
      </w:r>
    </w:p>
    <w:p>
      <w:pPr>
        <w:pStyle w:val="ListParagraph"/>
        <w:numPr>
          <w:ilvl w:val="0"/>
          <w:numId w:val="2"/>
        </w:numPr>
        <w:spacing w:after="80"/>
      </w:pPr>
      <w:r>
        <w:rPr>
          <w:sz w:val="22"/>
          <w:szCs w:val="22"/>
        </w:rPr>
        <w:t xml:space="preserve">Full turnover clean of kitchen, bathroom(s) and floors</w:t>
      </w:r>
    </w:p>
    <w:p>
      <w:pPr>
        <w:pStyle w:val="ListParagraph"/>
        <w:numPr>
          <w:ilvl w:val="0"/>
          <w:numId w:val="2"/>
        </w:numPr>
        <w:spacing w:after="80"/>
      </w:pPr>
      <w:r>
        <w:rPr>
          <w:sz w:val="22"/>
          <w:szCs w:val="22"/>
        </w:rPr>
        <w:t xml:space="preserve">Surfaces wiped and sanitised, bins emptied</w:t>
      </w:r>
    </w:p>
    <w:p>
      <w:pPr>
        <w:pStyle w:val="ListParagraph"/>
        <w:numPr>
          <w:ilvl w:val="0"/>
          <w:numId w:val="2"/>
        </w:numPr>
        <w:spacing w:after="80"/>
      </w:pPr>
      <w:r>
        <w:rPr>
          <w:sz w:val="22"/>
          <w:szCs w:val="22"/>
        </w:rPr>
        <w:t xml:space="preserve">Guest-ready reset and staging</w:t>
      </w:r>
    </w:p>
    <w:p>
      <w:pPr>
        <w:pStyle w:val="Heading2"/>
        <w:spacing w:after="120" w:before="260"/>
      </w:pPr>
      <w:r>
        <w:rPr>
          <w:b/>
          <w:bCs/>
          <w:color w:val="1E2A32"/>
        </w:rPr>
        <w:t xml:space="preserve">Standard Turnover</w:t>
      </w:r>
    </w:p>
    <w:p>
      <w:pPr>
        <w:pStyle w:val="ListParagraph"/>
        <w:numPr>
          <w:ilvl w:val="0"/>
          <w:numId w:val="2"/>
        </w:numPr>
        <w:spacing w:after="80"/>
      </w:pPr>
      <w:r>
        <w:rPr>
          <w:sz w:val="22"/>
          <w:szCs w:val="22"/>
        </w:rPr>
        <w:t xml:space="preserve">Everything in Starter Clean</w:t>
      </w:r>
    </w:p>
    <w:p>
      <w:pPr>
        <w:pStyle w:val="ListParagraph"/>
        <w:numPr>
          <w:ilvl w:val="0"/>
          <w:numId w:val="2"/>
        </w:numPr>
        <w:spacing w:after="80"/>
      </w:pPr>
      <w:r>
        <w:rPr>
          <w:sz w:val="22"/>
          <w:szCs w:val="22"/>
        </w:rPr>
        <w:t xml:space="preserve">Photo confirmation sent after the clean</w:t>
      </w:r>
    </w:p>
    <w:p>
      <w:pPr>
        <w:pStyle w:val="ListParagraph"/>
        <w:numPr>
          <w:ilvl w:val="0"/>
          <w:numId w:val="2"/>
        </w:numPr>
        <w:spacing w:after="80"/>
      </w:pPr>
      <w:r>
        <w:rPr>
          <w:sz w:val="22"/>
          <w:szCs w:val="22"/>
        </w:rPr>
        <w:t xml:space="preserve">Damage and low-stock check with report</w:t>
      </w:r>
    </w:p>
    <w:p>
      <w:pPr>
        <w:pStyle w:val="ListParagraph"/>
        <w:numPr>
          <w:ilvl w:val="0"/>
          <w:numId w:val="2"/>
        </w:numPr>
        <w:spacing w:after="80"/>
      </w:pPr>
      <w:r>
        <w:rPr>
          <w:sz w:val="22"/>
          <w:szCs w:val="22"/>
        </w:rPr>
        <w:t xml:space="preserve">Bed staging</w:t>
      </w:r>
    </w:p>
    <w:p>
      <w:pPr>
        <w:pStyle w:val="ListParagraph"/>
        <w:numPr>
          <w:ilvl w:val="0"/>
          <w:numId w:val="2"/>
        </w:numPr>
        <w:spacing w:after="80"/>
      </w:pPr>
      <w:r>
        <w:rPr>
          <w:sz w:val="22"/>
          <w:szCs w:val="22"/>
        </w:rPr>
        <w:t xml:space="preserve">Priority booking and faster response</w:t>
      </w:r>
    </w:p>
    <w:p>
      <w:pPr>
        <w:pStyle w:val="Heading2"/>
        <w:spacing w:after="120" w:before="260"/>
      </w:pPr>
      <w:r>
        <w:rPr>
          <w:b/>
          <w:bCs/>
          <w:color w:val="1E2A32"/>
        </w:rPr>
        <w:t xml:space="preserve">Guest-Ready Plus</w:t>
      </w:r>
    </w:p>
    <w:p>
      <w:pPr>
        <w:pStyle w:val="ListParagraph"/>
        <w:numPr>
          <w:ilvl w:val="0"/>
          <w:numId w:val="2"/>
        </w:numPr>
        <w:spacing w:after="80"/>
      </w:pPr>
      <w:r>
        <w:rPr>
          <w:sz w:val="22"/>
          <w:szCs w:val="22"/>
        </w:rPr>
        <w:t xml:space="preserve">Everything in Standard Turnover</w:t>
      </w:r>
    </w:p>
    <w:p>
      <w:pPr>
        <w:pStyle w:val="ListParagraph"/>
        <w:numPr>
          <w:ilvl w:val="0"/>
          <w:numId w:val="2"/>
        </w:numPr>
        <w:spacing w:after="80"/>
      </w:pPr>
      <w:r>
        <w:rPr>
          <w:sz w:val="22"/>
          <w:szCs w:val="22"/>
        </w:rPr>
        <w:t xml:space="preserve">Linen change and bed making (linen provided by client unless agreed)</w:t>
      </w:r>
    </w:p>
    <w:p>
      <w:pPr>
        <w:pStyle w:val="ListParagraph"/>
        <w:numPr>
          <w:ilvl w:val="0"/>
          <w:numId w:val="2"/>
        </w:numPr>
        <w:spacing w:after="80"/>
      </w:pPr>
      <w:r>
        <w:rPr>
          <w:sz w:val="22"/>
          <w:szCs w:val="22"/>
        </w:rPr>
        <w:t xml:space="preserve">Dishwashing and full kitchen reset</w:t>
      </w:r>
    </w:p>
    <w:p>
      <w:pPr>
        <w:pStyle w:val="ListParagraph"/>
        <w:numPr>
          <w:ilvl w:val="0"/>
          <w:numId w:val="2"/>
        </w:numPr>
        <w:spacing w:after="80"/>
      </w:pPr>
      <w:r>
        <w:rPr>
          <w:sz w:val="22"/>
          <w:szCs w:val="22"/>
        </w:rPr>
        <w:t xml:space="preserve">Inside fridge and cupboards</w:t>
      </w:r>
    </w:p>
    <w:p>
      <w:pPr>
        <w:pStyle w:val="ListParagraph"/>
        <w:numPr>
          <w:ilvl w:val="0"/>
          <w:numId w:val="2"/>
        </w:numPr>
        <w:spacing w:after="80"/>
      </w:pPr>
      <w:r>
        <w:rPr>
          <w:sz w:val="22"/>
          <w:szCs w:val="22"/>
        </w:rPr>
        <w:t xml:space="preserve">Pre-check-in double inspection</w:t>
      </w:r>
    </w:p>
    <w:p>
      <w:pPr>
        <w:pStyle w:val="Heading2"/>
        <w:spacing w:after="120" w:before="260"/>
      </w:pPr>
      <w:r>
        <w:rPr>
          <w:b/>
          <w:bCs/>
          <w:color w:val="1E2A32"/>
        </w:rPr>
        <w:t xml:space="preserve">Optional add-ons (priced separately)</w:t>
      </w:r>
    </w:p>
    <w:p>
      <w:pPr>
        <w:pStyle w:val="ListParagraph"/>
        <w:numPr>
          <w:ilvl w:val="0"/>
          <w:numId w:val="2"/>
        </w:numPr>
        <w:spacing w:after="80"/>
      </w:pPr>
      <w:r>
        <w:rPr>
          <w:sz w:val="22"/>
          <w:szCs w:val="22"/>
        </w:rPr>
        <w:t xml:space="preserve">Essentials restocking — £10</w:t>
      </w:r>
    </w:p>
    <w:p>
      <w:pPr>
        <w:pStyle w:val="ListParagraph"/>
        <w:numPr>
          <w:ilvl w:val="0"/>
          <w:numId w:val="2"/>
        </w:numPr>
        <w:spacing w:after="80"/>
      </w:pPr>
      <w:r>
        <w:rPr>
          <w:sz w:val="22"/>
          <w:szCs w:val="22"/>
        </w:rPr>
        <w:t xml:space="preserve">Linen change — from £15 per bed</w:t>
      </w:r>
    </w:p>
    <w:p>
      <w:pPr>
        <w:pStyle w:val="ListParagraph"/>
        <w:numPr>
          <w:ilvl w:val="0"/>
          <w:numId w:val="2"/>
        </w:numPr>
        <w:spacing w:after="80"/>
      </w:pPr>
      <w:r>
        <w:rPr>
          <w:sz w:val="22"/>
          <w:szCs w:val="22"/>
        </w:rPr>
        <w:t xml:space="preserve">Dishwashing — £10</w:t>
      </w:r>
    </w:p>
    <w:p>
      <w:pPr>
        <w:pStyle w:val="ListParagraph"/>
        <w:numPr>
          <w:ilvl w:val="0"/>
          <w:numId w:val="2"/>
        </w:numPr>
        <w:spacing w:after="80"/>
      </w:pPr>
      <w:r>
        <w:rPr>
          <w:sz w:val="22"/>
          <w:szCs w:val="22"/>
        </w:rPr>
        <w:t xml:space="preserve">Fridge and microwave interior — £10</w:t>
      </w:r>
    </w:p>
    <w:p>
      <w:pPr>
        <w:pStyle w:val="Heading2"/>
        <w:spacing w:after="120" w:before="260"/>
      </w:pPr>
      <w:r>
        <w:rPr>
          <w:b/>
          <w:bCs/>
          <w:color w:val="1E2A32"/>
        </w:rPr>
        <w:t xml:space="preserve">Not included in any package (separate quote required)</w:t>
      </w:r>
    </w:p>
    <w:p>
      <w:pPr>
        <w:pStyle w:val="ListParagraph"/>
        <w:numPr>
          <w:ilvl w:val="0"/>
          <w:numId w:val="2"/>
        </w:numPr>
        <w:spacing w:after="80"/>
      </w:pPr>
      <w:r>
        <w:rPr>
          <w:sz w:val="22"/>
          <w:szCs w:val="22"/>
        </w:rPr>
        <w:t xml:space="preserve">End-of-tenancy or deep cleaning</w:t>
      </w:r>
    </w:p>
    <w:p>
      <w:pPr>
        <w:pStyle w:val="ListParagraph"/>
        <w:numPr>
          <w:ilvl w:val="0"/>
          <w:numId w:val="2"/>
        </w:numPr>
        <w:spacing w:after="80"/>
      </w:pPr>
      <w:r>
        <w:rPr>
          <w:sz w:val="22"/>
          <w:szCs w:val="22"/>
        </w:rPr>
        <w:t xml:space="preserve">Mould treatment, heavy limescale, biohazards</w:t>
      </w:r>
    </w:p>
    <w:p>
      <w:pPr>
        <w:pStyle w:val="ListParagraph"/>
        <w:numPr>
          <w:ilvl w:val="0"/>
          <w:numId w:val="2"/>
        </w:numPr>
        <w:spacing w:after="80"/>
      </w:pPr>
      <w:r>
        <w:rPr>
          <w:sz w:val="22"/>
          <w:szCs w:val="22"/>
        </w:rPr>
        <w:t xml:space="preserve">Carpet or upholstery shampooing</w:t>
      </w:r>
    </w:p>
    <w:p>
      <w:pPr>
        <w:pStyle w:val="ListParagraph"/>
        <w:numPr>
          <w:ilvl w:val="0"/>
          <w:numId w:val="2"/>
        </w:numPr>
        <w:spacing w:after="80"/>
      </w:pPr>
      <w:r>
        <w:rPr>
          <w:sz w:val="22"/>
          <w:szCs w:val="22"/>
        </w:rPr>
        <w:t xml:space="preserve">Exterior windows, balconies, gardens</w:t>
      </w:r>
    </w:p>
    <w:p>
      <w:pPr>
        <w:pStyle w:val="ListParagraph"/>
        <w:numPr>
          <w:ilvl w:val="0"/>
          <w:numId w:val="2"/>
        </w:numPr>
        <w:spacing w:after="80"/>
      </w:pPr>
      <w:r>
        <w:rPr>
          <w:sz w:val="22"/>
          <w:szCs w:val="22"/>
        </w:rPr>
        <w:t xml:space="preserve">Post-construction or post-party cleaning</w:t>
      </w:r>
    </w:p>
    <w:p>
      <w:pPr>
        <w:pStyle w:val="Heading1"/>
        <w:pageBreakBefore/>
        <w:spacing w:after="160"/>
      </w:pPr>
      <w:r>
        <w:rPr>
          <w:b/>
          <w:bCs/>
          <w:color w:val="3D8D7A"/>
        </w:rPr>
        <w:t xml:space="preserve">Annex B — Extra Work Authorisation</w:t>
      </w:r>
    </w:p>
    <w:p>
      <w:pPr>
        <w:spacing w:after="120"/>
      </w:pPr>
      <w:r>
        <w:rPr>
          <w:sz w:val="22"/>
          <w:szCs w:val="22"/>
        </w:rPr>
        <w:t xml:space="preserve">Use this (or an equivalent WhatsApp exchange) whenever work beyond the booked scope is requested. No extra work proceeds without the price agreed first.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EBF7F4" w:val="clear"/>
            <w:tcMar>
              <w:top w:type="dxa" w:w="80"/>
              <w:left w:type="dxa" w:w="120"/>
              <w:bottom w:type="dxa" w:w="80"/>
              <w:right w:type="dxa" w:w="120"/>
            </w:tcMar>
          </w:tcPr>
          <w:p>
            <w:r>
              <w:rPr>
                <w:b/>
                <w:bCs/>
                <w:sz w:val="20"/>
                <w:szCs w:val="20"/>
              </w:rPr>
              <w:t xml:space="preserve">Property</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Date</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Extra work requested</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Agreed extra price (£)</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Agreed by (client)</w:t>
            </w:r>
          </w:p>
        </w:tc>
        <w:tc>
          <w:tcPr>
            <w:tcW w:type="dxa" w:w="6800"/>
            <w:tcMar>
              <w:top w:type="dxa" w:w="80"/>
              <w:left w:type="dxa" w:w="120"/>
              <w:bottom w:type="dxa" w:w="80"/>
              <w:right w:type="dxa" w:w="120"/>
            </w:tcMar>
          </w:tcPr>
          <w:p>
            <w:r>
              <w:rPr>
                <w:b w:val="false"/>
                <w:bCs w:val="false"/>
                <w:sz w:val="20"/>
                <w:szCs w:val="20"/>
              </w:rPr>
              <w:t xml:space="preserve"> </w:t>
            </w:r>
          </w:p>
        </w:tc>
      </w:tr>
      <w:tr>
        <w:tc>
          <w:tcPr>
            <w:tcW w:type="dxa" w:w="2800"/>
            <w:shd w:fill="EBF7F4" w:val="clear"/>
            <w:tcMar>
              <w:top w:type="dxa" w:w="80"/>
              <w:left w:type="dxa" w:w="120"/>
              <w:bottom w:type="dxa" w:w="80"/>
              <w:right w:type="dxa" w:w="120"/>
            </w:tcMar>
          </w:tcPr>
          <w:p>
            <w:r>
              <w:rPr>
                <w:b/>
                <w:bCs/>
                <w:sz w:val="20"/>
                <w:szCs w:val="20"/>
              </w:rPr>
              <w:t xml:space="preserve">Client signature / WhatsApp confirmation reference</w:t>
            </w:r>
          </w:p>
        </w:tc>
        <w:tc>
          <w:tcPr>
            <w:tcW w:type="dxa" w:w="6800"/>
            <w:tcMar>
              <w:top w:type="dxa" w:w="80"/>
              <w:left w:type="dxa" w:w="120"/>
              <w:bottom w:type="dxa" w:w="80"/>
              <w:right w:type="dxa" w:w="120"/>
            </w:tcMar>
          </w:tcPr>
          <w:p>
            <w:r>
              <w:rPr>
                <w:b w:val="false"/>
                <w:bCs w:val="false"/>
                <w:sz w:val="20"/>
                <w:szCs w:val="20"/>
              </w:rPr>
              <w:t xml:space="preserve"> </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D8D7A"/>
      <w:sz w:val="30"/>
      <w:szCs w:val="30"/>
    </w:rPr>
  </w:style>
  <w:style w:type="paragraph" w:styleId="Heading2">
    <w:name w:val="Heading 2"/>
    <w:basedOn w:val="Normal"/>
    <w:next w:val="Normal"/>
    <w:qFormat/>
    <w:rPr>
      <w:rFonts w:ascii="Calibri" w:cs="Calibri" w:eastAsia="Calibri" w:hAnsi="Calibri"/>
      <w:b/>
      <w:bCs/>
      <w:color w:val="1E2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2026-07-14T13:16:51.003Z</dcterms:created>
  <dcterms:modified xsi:type="dcterms:W3CDTF">2026-07-14T13:16:51.003Z</dcterms:modified>
</cp:coreProperties>
</file>

<file path=docProps/custom.xml><?xml version="1.0" encoding="utf-8"?>
<Properties xmlns="http://schemas.openxmlformats.org/officeDocument/2006/custom-properties" xmlns:vt="http://schemas.openxmlformats.org/officeDocument/2006/docPropsVTypes"/>
</file>