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Q1: This question has no complete options</w:t>
      </w:r>
    </w:p>
    <w:p>
      <w:r>
        <w:t>A. Option A</w:t>
      </w:r>
    </w:p>
    <w:p>
      <w:r>
        <w:t>B. Option B</w:t>
      </w:r>
    </w:p>
    <w:p>
      <w:r>
        <w:t>Q2: This one is valid and has an image</w:t>
      </w:r>
    </w:p>
    <w:p>
      <w:r>
        <w:drawing>
          <wp:inline xmlns:a="http://schemas.openxmlformats.org/drawingml/2006/main" xmlns:pic="http://schemas.openxmlformats.org/drawingml/2006/picture">
            <wp:extent cx="1645920" cy="925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925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Alpha</w:t>
      </w:r>
    </w:p>
    <w:p>
      <w:r>
        <w:t>B. Beta</w:t>
      </w:r>
    </w:p>
    <w:p>
      <w:r>
        <w:t>C. Gamma</w:t>
      </w:r>
    </w:p>
    <w:p>
      <w:r>
        <w:t>D. Delta</w:t>
      </w:r>
    </w:p>
    <w:p>
      <w:r>
        <w:t>Hint: Read the figure carefully.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