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Calibri" w:hAnsi="Calibri"/>
          <w:b/>
          <w:i w:val="0"/>
          <w:color w:val="1F4E79"/>
          <w:sz w:val="20"/>
        </w:rPr>
        <w:t>DOCUMENTACIÓN TÉCNICA</w:t>
      </w:r>
    </w:p>
    <w:p>
      <w:pPr>
        <w:pStyle w:val="Title"/>
      </w:pPr>
      <w:r>
        <w:rPr>
          <w:rFonts w:ascii="Calibri" w:hAnsi="Calibri"/>
          <w:b/>
          <w:i w:val="0"/>
          <w:color w:val="17365D"/>
          <w:sz w:val="52"/>
        </w:rPr>
        <w:t>Agente local con Ollama y Spring AI</w:t>
      </w:r>
    </w:p>
    <w:p>
      <w:pPr>
        <w:pStyle w:val="Subtitle"/>
      </w:pPr>
      <w:r>
        <w:rPr>
          <w:rFonts w:ascii="Calibri" w:hAnsi="Calibri"/>
          <w:b w:val="0"/>
          <w:i w:val="0"/>
          <w:color w:val="5B6573"/>
          <w:sz w:val="28"/>
        </w:rPr>
        <w:t>Arquitectura hexagonal multimódulo sobre Java 25 y Spring Boot 4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20"/>
              </w:rPr>
              <w:t>Campo</w:t>
            </w:r>
          </w:p>
        </w:tc>
        <w:tc>
          <w:tcPr>
            <w:tcW w:type="dxa" w:w="7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20"/>
              </w:rPr>
              <w:t>Definición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Proyecto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agente-ollama-spring-ai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Stack base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Java 25 · Spring Boot 4.0.7 · Spring AI 2.0.0 · Ollama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Arquitectura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Hexagonal, Maven multimódulo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Rama principal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main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Estado GitHub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Sin issues ni pull requests abiertos; permisos administrativos disponibles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Fecha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16 de julio de 2026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F4E79"/>
                <w:sz w:val="22"/>
              </w:rPr>
              <w:t xml:space="preserve">PROPÓSITO. </w:t>
            </w: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Consolidar una visión técnica compartida del proyecto, sus límites arquitectónicos, capacidades de IA, mecanismos de calidad y próximos pasos de evolución.</w:t>
            </w:r>
          </w:p>
        </w:tc>
      </w:tr>
    </w:tbl>
    <w:p>
      <w:pPr>
        <w:spacing w:after="0"/>
      </w:pPr>
    </w:p>
    <w:p>
      <w:pPr>
        <w:pStyle w:val="Heading1"/>
      </w:pPr>
      <w:r>
        <w:t>1. Resumen ejecutivo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El proyecto implementa un agente de inteligencia artificial ejecutable en infraestructura local. Utiliza Ollama como proveedor de inferencia, Spring AI como capa de integración y Java 25 con Spring Boot 4.0.7 como plataforma de aplicación. La solución está organizada como un reactor Maven de cuatro módulos y adopta arquitectura hexagonal para desacoplar el dominio y los casos de uso de Spring, Ollama y la API REST.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La implementación contempla ChatClient, invocación controlada de herramientas, respuestas estructuradas, recuperación aumentada por generación (RAG) en memoria, memoria conversacional, guardrails determinísticos y evaluadores de calidad. El repositorio también incluye pruebas automatizadas y un workflow de GitHub Actions orientado a ejecutar la verificación Maven con Java 25.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E7D32"/>
                <w:sz w:val="22"/>
              </w:rPr>
              <w:t xml:space="preserve">LECTURA EJECUTIVA. </w:t>
            </w: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La base técnica es apropiada para una implementación de referencia local. La evolución productiva debe priorizar persistencia, búsqueda semántica real, seguridad, observabilidad, resiliencia y evaluación reproducible.</w:t>
            </w:r>
          </w:p>
        </w:tc>
      </w:tr>
    </w:tbl>
    <w:p>
      <w:pPr>
        <w:spacing w:after="0"/>
      </w:pPr>
    </w:p>
    <w:p>
      <w:pPr>
        <w:pStyle w:val="Heading1"/>
      </w:pPr>
      <w:r>
        <w:t>2. Objetivo y alcance</w:t>
      </w:r>
    </w:p>
    <w:p>
      <w:pPr>
        <w:pStyle w:val="Heading2"/>
      </w:pPr>
      <w:r>
        <w:t>2.1 Objetivo funcional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Responder consultas técnicas mediante un modelo local, conservar el contexto de una conversación, recuperar evidencia documental, ejecutar únicamente herramientas autorizadas y devolver una respuesta tipada, validada y auditable.</w:t>
      </w:r>
    </w:p>
    <w:p>
      <w:pPr>
        <w:pStyle w:val="Heading2"/>
      </w:pPr>
      <w:r>
        <w:t>2.2 Capacidades incluidas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API REST síncrona para interacción con el agente.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Inferencia local sin dependencia obligatoria de proveedores externos.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Contexto documental mediante RAG en memoria.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Memoria asociada a un conversationId.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Tool calling con herramientas Java declarativas y acotadas.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Structured Outputs mapeados a tipos de dominio.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Guardrails determinísticos de entrada y salida.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Evaluación de relevancia, fidelidad, formato y confianza.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Pruebas determinísticas e integración opcional con Ollama.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Automatización de verificación mediante GitHub Actions.</w:t>
      </w:r>
    </w:p>
    <w:p>
      <w:pPr>
        <w:pStyle w:val="Heading2"/>
      </w:pPr>
      <w:r>
        <w:t>2.3 Límites actuales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La solución corresponde a una referencia técnica y no a una plataforma productiva completa. El almacenamiento en memoria no brinda durabilidad ni escalabilidad distribuida; tampoco sustituye una base vectorial, un registro de auditoría persistente o una política empresarial de autorización por herramienta.</w:t>
      </w:r>
    </w:p>
    <w:p>
      <w:r>
        <w:br w:type="page"/>
      </w:r>
    </w:p>
    <w:p>
      <w:pPr>
        <w:pStyle w:val="Heading1"/>
      </w:pPr>
      <w:r>
        <w:t>3. Arquitectura de solución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La arquitectura hexagonal separa el núcleo funcional de los adaptadores tecnológicos. Los casos de uso dependen de puertos; la infraestructura implementa dichos puertos utilizando Spring AI y Ollama; la API ensambla y expone la aplicación.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500"/>
        <w:gridCol w:w="306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20"/>
              </w:rPr>
              <w:t>Módulo</w:t>
            </w:r>
          </w:p>
        </w:tc>
        <w:tc>
          <w:tcPr>
            <w:tcW w:type="dxa" w:w="4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20"/>
              </w:rPr>
              <w:t>Responsabilidad</w:t>
            </w:r>
          </w:p>
        </w:tc>
        <w:tc>
          <w:tcPr>
            <w:tcW w:type="dxa" w:w="3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20"/>
              </w:rPr>
              <w:t>Dependencias permitidas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agent-domain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Modelos, invariantes y excepciones independientes del framework.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Ninguna dependencia hacia Spring o infraestructura.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agent-application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Casos de uso y definición de puertos de entrada/salida.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Depende de agent-domain.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agent-infrastructure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Adaptadores para Spring AI, Ollama, RAG, memoria, tools, guardrails y evaluación.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Depende de agent-application y agent-domain.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agent-api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Arranque Spring Boot, controladores REST, validación, manejo de errores y Actuator.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Integra agent-infrastructure y expone la aplicación.</w:t>
            </w:r>
          </w:p>
        </w:tc>
      </w:tr>
    </w:tbl>
    <w:p>
      <w:pPr>
        <w:spacing w:after="0"/>
      </w:pPr>
    </w:p>
    <w:p>
      <w:pPr>
        <w:pStyle w:val="Heading2"/>
      </w:pPr>
      <w:r>
        <w:t>3.1 Flujo principal</w:t>
      </w:r>
    </w:p>
    <w:p>
      <w:pPr>
        <w:pStyle w:val="ListNumber"/>
        <w:numPr>
          <w:numId w:val="10"/>
        </w:numPr>
        <w:spacing w:after="10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Recibir conversationId y question mediante la API REST.</w:t>
      </w:r>
    </w:p>
    <w:p>
      <w:pPr>
        <w:pStyle w:val="ListNumber"/>
        <w:numPr>
          <w:numId w:val="10"/>
        </w:numPr>
        <w:spacing w:after="10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Validar contrato y aplicar guardrails de entrada.</w:t>
      </w:r>
    </w:p>
    <w:p>
      <w:pPr>
        <w:pStyle w:val="ListNumber"/>
        <w:numPr>
          <w:numId w:val="10"/>
        </w:numPr>
        <w:spacing w:after="10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Recuperar memoria y evidencia documental pertinente.</w:t>
      </w:r>
    </w:p>
    <w:p>
      <w:pPr>
        <w:pStyle w:val="ListNumber"/>
        <w:numPr>
          <w:numId w:val="10"/>
        </w:numPr>
        <w:spacing w:after="10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Construir el contexto y ejecutar ChatClient con tools autorizadas.</w:t>
      </w:r>
    </w:p>
    <w:p>
      <w:pPr>
        <w:pStyle w:val="ListNumber"/>
        <w:numPr>
          <w:numId w:val="10"/>
        </w:numPr>
        <w:spacing w:after="10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Mapear la salida al contrato AgentAnswer.</w:t>
      </w:r>
    </w:p>
    <w:p>
      <w:pPr>
        <w:pStyle w:val="ListNumber"/>
        <w:numPr>
          <w:numId w:val="10"/>
        </w:numPr>
        <w:spacing w:after="10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Aplicar guardrails de salida y validar invariantes.</w:t>
      </w:r>
    </w:p>
    <w:p>
      <w:pPr>
        <w:pStyle w:val="ListNumber"/>
        <w:numPr>
          <w:numId w:val="10"/>
        </w:numPr>
        <w:spacing w:after="10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Calcular métricas de relevancia, fidelidad y formato.</w:t>
      </w:r>
    </w:p>
    <w:p>
      <w:pPr>
        <w:pStyle w:val="ListNumber"/>
        <w:numPr>
          <w:numId w:val="10"/>
        </w:numPr>
        <w:spacing w:after="10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Actualizar memoria, registrar metadatos y devolver la respuesta.</w:t>
      </w:r>
    </w:p>
    <w:p>
      <w:pPr>
        <w:pStyle w:val="Heading2"/>
      </w:pPr>
      <w:r>
        <w:t>3.2 Modelo de respuesta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20"/>
              </w:rPr>
              <w:t>Campo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20"/>
              </w:rPr>
              <w:t>Finalidad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answer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Contenido principal de la respuesta.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sources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Fuentes y referencias que respaldan la respuesta.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toolsUsed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Herramientas invocadas durante la ejecución.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grounded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Indica si existe evidencia suficiente.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confidence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Valor normalizado entre 0 y 1.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warnings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Incertidumbres, faltantes o advertencias.</w:t>
            </w:r>
          </w:p>
        </w:tc>
      </w:tr>
    </w:tbl>
    <w:p>
      <w:pPr>
        <w:spacing w:after="0"/>
      </w:pPr>
    </w:p>
    <w:p>
      <w:pPr>
        <w:pStyle w:val="Heading1"/>
      </w:pPr>
      <w:r>
        <w:t>4. Capacidades de inteligencia artificial</w:t>
      </w:r>
    </w:p>
    <w:p>
      <w:pPr>
        <w:pStyle w:val="Heading2"/>
      </w:pPr>
      <w:r>
        <w:t>4.1 Ollama y ChatClient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Ollama suministra el modelo local y Spring AI abstrae la construcción del prompt, la llamada al modelo, la conversión de la respuesta y la exposición de herramientas. El modelo y la URL base deben permanecer externalizados para permitir cambios de ambiente sin recompilar.</w:t>
      </w:r>
    </w:p>
    <w:p>
      <w:pPr>
        <w:pStyle w:val="Heading2"/>
      </w:pPr>
      <w:r>
        <w:t>4.2 RAG en memoria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El RAG inicial ingiere contenido textual identificado por fuente y devuelve un conjunto limitado por top-k. Esta estrategia permite validar el flujo, pero debe evolucionar desde recuperación posicional o léxica hacia chunking controlado, embeddings, similitud vectorial, umbral configurable y trazabilidad de cada fragmento.</w:t>
      </w:r>
    </w:p>
    <w:p>
      <w:pPr>
        <w:pStyle w:val="Heading2"/>
      </w:pPr>
      <w:r>
        <w:t>4.3 Memoria conversacional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La memoria debe mantener una ventana acotada por conversationId, impedir contaminación entre conversaciones y evitar el almacenamiento de secretos o datos sensibles. El historial operativo y la auditoría constituyen responsabilidades diferentes y no deben confundirse con la memoria utilizada por el modelo.</w:t>
      </w:r>
    </w:p>
    <w:p>
      <w:pPr>
        <w:pStyle w:val="Heading2"/>
      </w:pPr>
      <w:r>
        <w:t>4.4 Tool calling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Las tools deben estar incluidas en una lista blanca, declarar claramente su propósito, validar parámetros y producir resultados serializables. La herramienta inicial de tiempo del sistema demuestra el patrón sin permitir comandos arbitrarios ni acceso irrestricto al sistema operativo.</w:t>
      </w:r>
    </w:p>
    <w:p>
      <w:r>
        <w:br w:type="page"/>
      </w:r>
    </w:p>
    <w:p>
      <w:pPr>
        <w:pStyle w:val="Heading1"/>
      </w:pPr>
      <w:r>
        <w:t>5. Guardrails y evaluación</w:t>
      </w:r>
    </w:p>
    <w:p>
      <w:pPr>
        <w:pStyle w:val="Heading2"/>
      </w:pPr>
      <w:r>
        <w:t>5.1 Guardrails determinísticos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20"/>
              </w:rPr>
              <w:t>Etapa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20"/>
              </w:rPr>
              <w:t>Controles principales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Entrada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Campo obligatorio, longitud máxima, prompt injection evidente, solicitud de revelar instrucciones y ejecución arbitraria.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Salida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Respuesta no vacía, confianza válida, colecciones normalizadas, no exposición de secretos y coherencia entre grounded, fuentes y advertencias.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Las reglas críticas deben implementarse en Java y no depender exclusivamente del prompt. Esto permite resultados determinísticos, pruebas unitarias rápidas y comportamiento predecible aunque cambie el modelo.</w:t>
      </w:r>
    </w:p>
    <w:p>
      <w:pPr>
        <w:pStyle w:val="Heading2"/>
      </w:pPr>
      <w:r>
        <w:t>5.2 Evaluadores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800"/>
        <w:gridCol w:w="53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20"/>
              </w:rPr>
              <w:t>Métrica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20"/>
              </w:rPr>
              <w:t>Umbral inicial</w:t>
            </w:r>
          </w:p>
        </w:tc>
        <w:tc>
          <w:tcPr>
            <w:tcW w:type="dxa" w:w="5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20"/>
              </w:rPr>
              <w:t>Interpretación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Relevancia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&gt;= 0,70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La respuesta atiende la pregunta formulada.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Fidelidad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&gt;= 0,75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Las afirmaciones están respaldadas por el contexto recuperado.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Formato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100 %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La respuesta cumple el contrato tipado.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Uso de tools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Según caso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La invocación fue necesaria, autorizada y correctamente informada.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9A6700"/>
                <w:sz w:val="22"/>
              </w:rPr>
              <w:t xml:space="preserve">RIESGO DE EVALUACIÓN. </w:t>
            </w: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Un resultado puede considerarse no respaldado porque la evidencia no existe, no fue recuperada, se fragmentó incorrectamente, el embedding no representó la consulta, el umbral fue inadecuado o el modelo juez interpretó mal el contexto.</w:t>
            </w:r>
          </w:p>
        </w:tc>
      </w:tr>
    </w:tbl>
    <w:p>
      <w:pPr>
        <w:spacing w:after="0"/>
      </w:pPr>
    </w:p>
    <w:p>
      <w:pPr>
        <w:pStyle w:val="Heading1"/>
      </w:pPr>
      <w:r>
        <w:t>6. Estrategia de pruebas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900"/>
        <w:gridCol w:w="3860"/>
      </w:tblGrid>
      <w:tr>
        <w:trPr>
          <w:tblHeader w:val="true"/>
          <w:cantSplit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20"/>
              </w:rPr>
              <w:t>Nivel</w:t>
            </w:r>
          </w:p>
        </w:tc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20"/>
              </w:rPr>
              <w:t>Objetivo</w:t>
            </w:r>
          </w:p>
        </w:tc>
        <w:tc>
          <w:tcPr>
            <w:tcW w:type="dxa" w:w="3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20"/>
              </w:rPr>
              <w:t>Ejemplos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Dominio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Validar invariantes sin Spring.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AgentAnswer, rangos, nulabilidad e inmutabilidad.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Aplicación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Comprobar la orquestación del caso de uso.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Orden de guardrails, RAG, motor y evaluadores.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Infraestructura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Validar adaptadores determinísticos.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RAG, tools, memoria y guardrails.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API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Verificar contratos HTTP y manejo de errores.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200, validaciones y 422 por guardrails.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Arquitectura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Impedir dependencias no autorizadas.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Reglas ArchUnit entre módulos/capas.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Integración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Validar Ollama y Structured Outputs reales.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Chat, tool calling, memoria y grounding.</w:t>
            </w:r>
          </w:p>
        </w:tc>
      </w:tr>
    </w:tbl>
    <w:p>
      <w:pPr>
        <w:spacing w:after="0"/>
      </w:pPr>
    </w:p>
    <w:p>
      <w:pPr>
        <w:pStyle w:val="Heading2"/>
      </w:pPr>
      <w:r>
        <w:t>6.1 Principios de ejecución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Las pruebas unitarias y de arquitectura deben ejecutarse siempre en CI.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Las pruebas que requieren Ollama deben etiquetarse como integración y activarse explícitamente en un job preparado.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Los tests determinísticos no deben realizar llamadas al modelo.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Los corpus de RAG deben ser controlados y cubrir evidencia presente, ausente y ambigua.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Los resultados del juez LLM deben complementarse con aserciones determinísticas.</w:t>
      </w:r>
    </w:p>
    <w:p>
      <w:pPr>
        <w:pStyle w:val="Heading1"/>
      </w:pPr>
      <w:r>
        <w:t>7. Integración continua y repositorio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GitHub Actions ejecuta el ciclo Maven clean verify sobre Java 25 para pushes y pull requests dirigidos a main. El repositorio se encuentra público, activo, con main como rama predeterminada, sin issues ni pull requests abiertos y con permisos administrativos disponibles.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20"/>
              </w:rPr>
              <w:t>Control</w:t>
            </w:r>
          </w:p>
        </w:tc>
        <w:tc>
          <w:tcPr>
            <w:tcW w:type="dxa" w:w="6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20"/>
              </w:rPr>
              <w:t>Estado documentado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Rama principal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main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Workflow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Maven Verify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JDK del pipeline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Java 25, distribución Temurin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Comando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mvn --batch-mode --no-transfer-progress clean verify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Issues abiertos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Ninguno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Pull requests abiertos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Ninguno</w:t>
            </w:r>
          </w:p>
        </w:tc>
      </w:tr>
    </w:tbl>
    <w:p>
      <w:pPr>
        <w:spacing w:after="0"/>
      </w:pPr>
    </w:p>
    <w:p>
      <w:pPr>
        <w:pStyle w:val="Heading2"/>
      </w:pPr>
      <w:r>
        <w:t>7.1 Controles recomendados para CI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Incorporar JaCoCo con umbral de cobertura y reporte por módulo.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Ejecutar ArchUnit como parte de verify.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Agregar análisis estático y detección de dependencias vulnerables.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Separar pruebas unitarias e integración Ollama en jobs diferentes.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Publicar reportes de pruebas como artefactos aun cuando falle el pipeline.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Proteger main y exigir pull request con checks obligatorios.</w:t>
      </w:r>
    </w:p>
    <w:p>
      <w:r>
        <w:br w:type="page"/>
      </w:r>
    </w:p>
    <w:p>
      <w:pPr>
        <w:pStyle w:val="Heading1"/>
      </w:pPr>
      <w:r>
        <w:t>8. Configuración operativa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2500"/>
        <w:gridCol w:w="4060"/>
      </w:tblGrid>
      <w:tr>
        <w:trPr>
          <w:tblHeader w:val="true"/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20"/>
              </w:rPr>
              <w:t>Variable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20"/>
              </w:rPr>
              <w:t>Valor inicial</w:t>
            </w:r>
          </w:p>
        </w:tc>
        <w:tc>
          <w:tcPr>
            <w:tcW w:type="dxa" w:w="4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20"/>
              </w:rPr>
              <w:t>Uso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OLLAMA_BASE_URL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http://localhost:11434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Endpoint del servidor Ollama.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OLLAMA_CHAT_MODEL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qwen3:8b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Modelo local de chat/tool calling.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AGENT_MAX_INPUT_CHARS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12000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Límite del guardrail de entrada.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AGENT_RAG_TOP_K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4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Máximo de fragmentos recuperados.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AGENT_MIN_RELEVANCE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0.70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Umbral de relevancia.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AGENT_MIN_FAITHFULNESS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0.75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Umbral de fidelidad.</w:t>
            </w:r>
          </w:p>
        </w:tc>
      </w:tr>
    </w:tbl>
    <w:p>
      <w:pPr>
        <w:spacing w:after="0"/>
      </w:pPr>
    </w:p>
    <w:p>
      <w:pPr>
        <w:pStyle w:val="Heading2"/>
      </w:pPr>
      <w:r>
        <w:t>8.1 Puesta en marcha local</w:t>
      </w:r>
    </w:p>
    <w:p>
      <w:pPr>
        <w:pStyle w:val="ListNumber"/>
        <w:numPr>
          <w:numId w:val="11"/>
        </w:numPr>
        <w:spacing w:after="10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Instalar JDK 25 y Maven 3.9 o superior.</w:t>
      </w:r>
    </w:p>
    <w:p>
      <w:pPr>
        <w:pStyle w:val="ListNumber"/>
        <w:numPr>
          <w:numId w:val="11"/>
        </w:numPr>
        <w:spacing w:after="10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Instalar Ollama y descargar qwen3:8b; incorporar un modelo de embeddings cuando se implemente búsqueda vectorial.</w:t>
      </w:r>
    </w:p>
    <w:p>
      <w:pPr>
        <w:pStyle w:val="ListNumber"/>
        <w:numPr>
          <w:numId w:val="11"/>
        </w:numPr>
        <w:spacing w:after="10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Iniciar Ollama y comprobar disponibilidad en el puerto configurado.</w:t>
      </w:r>
    </w:p>
    <w:p>
      <w:pPr>
        <w:pStyle w:val="ListNumber"/>
        <w:numPr>
          <w:numId w:val="11"/>
        </w:numPr>
        <w:spacing w:after="10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Ejecutar mvn clean verify.</w:t>
      </w:r>
    </w:p>
    <w:p>
      <w:pPr>
        <w:pStyle w:val="ListNumber"/>
        <w:numPr>
          <w:numId w:val="11"/>
        </w:numPr>
        <w:spacing w:after="10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Iniciar agent-api mediante el plugin de Spring Boot.</w:t>
      </w:r>
    </w:p>
    <w:p>
      <w:pPr>
        <w:pStyle w:val="ListNumber"/>
        <w:numPr>
          <w:numId w:val="11"/>
        </w:numPr>
        <w:spacing w:after="10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Validar /actuator/health y luego POST /api/v1/agent/chat.</w:t>
      </w:r>
    </w:p>
    <w:p>
      <w:pPr>
        <w:pStyle w:val="Heading1"/>
      </w:pPr>
      <w:r>
        <w:t>9. Hoja de ruta recomendada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5000"/>
        <w:gridCol w:w="3260"/>
      </w:tblGrid>
      <w:tr>
        <w:trPr>
          <w:tblHeader w:val="true"/>
          <w:cantSplit/>
        </w:trPr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20"/>
              </w:rPr>
              <w:t>Prioridad</w:t>
            </w:r>
          </w:p>
        </w:tc>
        <w:tc>
          <w:tcPr>
            <w:tcW w:type="dxa" w:w="5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20"/>
              </w:rPr>
              <w:t>Evolución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20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P0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Estabilizar build, eliminar pruebas duplicadas y asegurar cumplimiento de SPEC.md.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Baseline reproducible y CI verde.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P0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Completar memoria aislada, RAG relevante, guardrails y evaluadores determinísticos.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Comportamiento funcional verificable.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P1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Incorporar embeddings y PGVector con chunking y umbral de similitud.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Recuperación semántica trazable.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P1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Añadir persistencia JDBC de memoria y auditoría separada.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Durabilidad y operación multiinstancia.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P1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Aplicar autenticación, autorización por tool y rate limiting.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Control de acceso y reducción de abuso.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P2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Incorporar retry, circuit breaker, métricas y trazas distribuidas.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Resiliencia y diagnóstico operacional.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P2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Versionar datasets y evaluación offline.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Comparación objetiva entre modelos y prompts.</w:t>
            </w:r>
          </w:p>
        </w:tc>
      </w:tr>
    </w:tbl>
    <w:p>
      <w:pPr>
        <w:spacing w:after="0"/>
      </w:pPr>
    </w:p>
    <w:p>
      <w:pPr>
        <w:pStyle w:val="Heading1"/>
      </w:pPr>
      <w:r>
        <w:t>10. Criterios de aceptación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El reactor completo compila con Java 25 y mvn clean verify finaliza correctamente.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agent-domain permanece libre de dependencias hacia Spring.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La API inicia sin claves de proveedores externos.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La conversación conserva contexto exclusivamente dentro de su conversationId.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El RAG devuelve fuentes relevantes y no fuentes por simple orden de ingreso.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Las entradas maliciosas conocidas son rechazadas por reglas determinísticas.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Las respuestas inválidas o potencialmente sensibles no se entregan al consumidor.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Las métricas de relevancia, fidelidad y formato quedan registradas.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Las pruebas con Ollama son opcionales en CI estándar y reproducibles en un job de integración.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GitHub Actions protege la calidad antes de integrar cambios en main.</w:t>
      </w:r>
    </w:p>
    <w:p>
      <w:pPr>
        <w:pStyle w:val="Heading1"/>
      </w:pPr>
      <w:r>
        <w:t>11. Conclusión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El proyecto establece una base clara para demostrar agentes locales con Spring AI y Ollama sin acoplar la lógica central al proveedor de modelos. La separación multimódulo favorece la mantenibilidad y la evolución incremental. Para alcanzar un nivel productivo, el foco debe pasar de la demostración funcional a la calidad de recuperación, aislamiento de memoria, seguridad por herramienta, evaluación reproducible, observabilidad y persistencia.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E7D32"/>
                <w:sz w:val="22"/>
              </w:rPr>
              <w:t xml:space="preserve">DECISIÓN RECOMENDADA. </w:t>
            </w: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Conservar Java 25, Spring Boot 4.0.7 y Spring AI 2.0.0 como baseline experimental; exigir un pipeline verde y una matriz explícita de cumplimiento de SPEC.md antes de incorporar PGVector, seguridad y despliegue distribuido.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52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B6573"/>
        <w:sz w:val="17"/>
      </w:rPr>
      <w:t xml:space="preserve">Sergio Gustavo Rozenberg  •  Julio 2026  •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5B6573"/>
        <w:sz w:val="17"/>
      </w:rPr>
      <w:t>AGENTE OLLAMA + SPRING AI  |  DOCUMENTO TÉCNICO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Agente local con Ollama y Spring AI</dc:title>
  <dc:subject>Documentación técnica del proyecto Maven multimódulo</dc:subject>
  <dc:creator>Sergio Gustavo Rozenberg</dc:creator>
  <cp:keywords>Java 25, Spring Boot 4, Spring AI, Ollama, RAG, arquitectura hexagonal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