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80"/>
      </w:pPr>
      <w:r>
        <w:rPr>
          <w:rFonts w:ascii="Arial" w:hAnsi="Arial"/>
          <w:b/>
          <w:color w:val="002C5E"/>
          <w:sz w:val="36"/>
        </w:rPr>
        <w:t>Drehbuch (Startseite)</w:t>
      </w:r>
    </w:p>
    <w:tbl>
      <w:tblPr>
        <w:tblStyle w:val="TableGrid"/>
        <w:tblW w:type="auto" w:w="0"/>
        <w:jc w:val="center"/>
        <w:tblLook w:firstColumn="1" w:firstRow="1" w:lastColumn="0" w:lastRow="0" w:noHBand="0" w:noVBand="1" w:val="04A0"/>
      </w:tblPr>
      <w:tblGrid>
        <w:gridCol w:w="10312"/>
      </w:tblGrid>
      <w:tr>
        <w:tc>
          <w:tcPr>
            <w:tcW w:type="dxa" w:w="10312"/>
            <w:shd w:fill="EAF2F8"/>
          </w:tcPr>
          <w:p>
            <w:pPr>
              <w:spacing w:after="40"/>
            </w:pPr>
            <w:r/>
            <w:r>
              <w:rPr>
                <w:rFonts w:ascii="Arial" w:hAnsi="Arial"/>
                <w:b/>
                <w:color w:val="002C5E"/>
                <w:sz w:val="44"/>
              </w:rPr>
              <w:t>M00 KI in der Kommunikation</w:t>
            </w:r>
          </w:p>
        </w:tc>
      </w:tr>
      <w:tr>
        <w:tc>
          <w:tcPr>
            <w:tcW w:type="dxa" w:w="10312"/>
          </w:tcPr>
          <w:p>
            <w:pPr>
              <w:spacing w:after="40"/>
            </w:pPr>
            <w:r/>
            <w:r>
              <w:rPr>
                <w:rFonts w:ascii="Arial" w:hAnsi="Arial"/>
                <w:b w:val="0"/>
                <w:sz w:val="22"/>
              </w:rPr>
              <w:t>Dieses Web Based Training zeigt, wie KI in der Kommunikationsarbeit verantwortungsvoll eingesetzt wird. Im Zentrum stehen die KI-Kommunikationsprinzipien, die Transparenzregelung, Freigabe und Qualitätssicherung sowie zeitbeständige Rahmen-Usecases entlang der Kommunikations-Journey.</w:t>
            </w:r>
          </w:p>
        </w:tc>
      </w:tr>
      <w:tr>
        <w:tc>
          <w:tcPr>
            <w:tcW w:type="dxa" w:w="10312"/>
          </w:tcPr>
          <w:p>
            <w:pPr>
              <w:spacing w:after="40"/>
            </w:pPr>
            <w:r/>
            <w:r>
              <w:rPr>
                <w:rFonts w:ascii="Arial" w:hAnsi="Arial"/>
                <w:b w:val="0"/>
                <w:sz w:val="20"/>
              </w:rPr>
              <w:t>Für die Bearbeitung dieses Kurses benötigen Sie ca. 30 Minuten.</w:t>
            </w:r>
          </w:p>
          <w:p>
            <w:pPr>
              <w:spacing w:after="40"/>
            </w:pPr>
            <w:r>
              <w:rPr>
                <w:rFonts w:ascii="Arial" w:hAnsi="Arial"/>
                <w:b w:val="0"/>
                <w:sz w:val="20"/>
              </w:rPr>
              <w:t>Um diesen Kurs zu beenden, wählen Sie bitte oben rechts KURS VERLASSEN.</w:t>
            </w:r>
          </w:p>
        </w:tc>
      </w:tr>
    </w:tbl>
    <w:p>
      <w:pPr>
        <w:pStyle w:val="Heading2"/>
        <w:spacing w:before="80" w:after="80"/>
      </w:pPr>
      <w:r>
        <w:rPr>
          <w:rFonts w:ascii="Arial" w:hAnsi="Arial"/>
          <w:b/>
          <w:color w:val="002C5E"/>
          <w:sz w:val="28"/>
        </w:rPr>
        <w:t>Kursdaten</w:t>
      </w:r>
    </w:p>
    <w:tbl>
      <w:tblPr>
        <w:tblStyle w:val="TableGrid"/>
        <w:tblW w:type="auto" w:w="0"/>
        <w:jc w:val="center"/>
        <w:tblLook w:firstColumn="1" w:firstRow="1" w:lastColumn="0" w:lastRow="0" w:noHBand="0" w:noVBand="1" w:val="04A0"/>
      </w:tblPr>
      <w:tblGrid>
        <w:gridCol w:w="5156"/>
        <w:gridCol w:w="5156"/>
      </w:tblGrid>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Arbeitstitel</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KI in der Kommunikation: Prinzipien, Transparenz und sichere Anwendung</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Adressat</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Mitarbeitende der Kommunikation, Webredaktionen, Medienarbeit, Social Media, Projektkommunikation und weitere Personen mit Kommunikationsaufgaben.</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Didaktischer Fokus</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Der Hauptteil vermittelt die KI-Kommunikationsprinzipien und deren Anwendung. Die Lektionen 1 bis 3 enthalten Lernzielkontrollen.</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Dauer / Format</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Annahme: 30 Minuten, selbstgesteuertes WBT in Rise 360 mit Wissensvermittlung, kurzen Szenarien, Zuordnungen und Multiple-Choice-Fragen.</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Abgrenzung</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Das WBT ersetzt keine rechtliche Einzelfallprüfung. Bei erhöhtem Risiko, Personendaten, externen Tools, Deepfake-Verdacht oder unklarer Freigabe ist der definierte Eskalationsweg zu nutzen.</w:t>
            </w:r>
          </w:p>
        </w:tc>
      </w:tr>
    </w:tbl>
    <w:p>
      <w:pPr>
        <w:pStyle w:val="Heading2"/>
        <w:spacing w:before="80" w:after="80"/>
      </w:pPr>
      <w:r>
        <w:rPr>
          <w:rFonts w:ascii="Arial" w:hAnsi="Arial"/>
          <w:b/>
          <w:color w:val="002C5E"/>
          <w:sz w:val="28"/>
        </w:rPr>
        <w:t>Lernziele</w:t>
      </w:r>
    </w:p>
    <w:tbl>
      <w:tblPr>
        <w:tblStyle w:val="TableGrid"/>
        <w:tblW w:type="auto" w:w="0"/>
        <w:jc w:val="center"/>
        <w:tblLook w:firstColumn="1" w:firstRow="1" w:lastColumn="0" w:lastRow="0" w:noHBand="0" w:noVBand="1" w:val="04A0"/>
      </w:tblPr>
      <w:tblGrid>
        <w:gridCol w:w="5156"/>
        <w:gridCol w:w="5156"/>
      </w:tblGrid>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Nach dem WBT können Teilnehmende ...</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die KI-Kommunikationsprinzipien auf typische Aufgaben der Kommunikation anwenden.</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beurteilen, wann KI-Einsatz transparent gemacht oder ein KI-Inhalt gekennzeichnet werden muss.</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den bestehenden Freigabeprozess mit KI-spezifischen Prüfpunkten verbinden.</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zeitbeständige Rahmen-Usecases entlang der Kommunikations-Journey einordnen und geeignete nächste Schritte ableiten.</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die relevanten Grundlagen, Tools und Supportstellen über die Linkliste finden.</w:t>
            </w:r>
          </w:p>
        </w:tc>
      </w:tr>
    </w:tbl>
    <w:p>
      <w:pPr>
        <w:pStyle w:val="Heading2"/>
        <w:spacing w:before="80" w:after="80"/>
      </w:pPr>
      <w:r>
        <w:rPr>
          <w:rFonts w:ascii="Arial" w:hAnsi="Arial"/>
          <w:b/>
          <w:color w:val="002C5E"/>
          <w:sz w:val="28"/>
        </w:rPr>
        <w:t>Kursstruktur</w:t>
      </w:r>
    </w:p>
    <w:tbl>
      <w:tblPr>
        <w:tblStyle w:val="TableGrid"/>
        <w:tblW w:type="auto" w:w="0"/>
        <w:jc w:val="center"/>
        <w:tblLook w:firstColumn="1" w:firstRow="1" w:lastColumn="0" w:lastRow="0" w:noHBand="0" w:noVBand="1" w:val="04A0"/>
      </w:tblPr>
      <w:tblGrid>
        <w:gridCol w:w="5156"/>
        <w:gridCol w:w="5156"/>
      </w:tblGrid>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Lektion 1</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Prinzipien mit Lernkontrolle</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Lektion 2</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Transparenz mit Lernkontrolle</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Lektion 3</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Freigabe und Qualitätssicherung mit Lernkontrolle</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Lektion 4</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Usecases entlang der Komm-Journey</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Lektion 5</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Link-Liste</w:t>
            </w:r>
          </w:p>
        </w:tc>
      </w:tr>
    </w:tbl>
    <w:p>
      <w:pPr>
        <w:pStyle w:val="Heading1"/>
        <w:spacing w:before="120" w:after="80"/>
      </w:pPr>
      <w:r>
        <w:rPr>
          <w:rFonts w:ascii="Arial" w:hAnsi="Arial"/>
          <w:b/>
          <w:color w:val="002C5E"/>
          <w:sz w:val="36"/>
        </w:rPr>
        <w:t>Lektion 1: Prinzipien mit Lernkontrolle</w:t>
      </w:r>
    </w:p>
    <w:p>
      <w:pPr>
        <w:spacing w:after="80"/>
      </w:pPr>
      <w:r>
        <w:rPr>
          <w:rFonts w:ascii="Arial" w:hAnsi="Arial"/>
          <w:b w:val="0"/>
          <w:i/>
          <w:sz w:val="21"/>
        </w:rPr>
        <w:t>Ziel der Lektion: Die Teilnehmenden kennen die KI-Kommunikationsprinzipien und können sie auf typische Kommunikationssituationen anwenden.</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002C5E"/>
            <w:vAlign w:val="center"/>
          </w:tcPr>
          <w:p>
            <w:pPr>
              <w:spacing w:after="40"/>
            </w:pPr>
            <w:r/>
            <w:r>
              <w:rPr>
                <w:rFonts w:ascii="Arial" w:hAnsi="Arial"/>
                <w:b/>
                <w:color w:val="FFFFFF"/>
                <w:sz w:val="19"/>
              </w:rPr>
              <w:t>Screen / Sequenz</w:t>
            </w:r>
          </w:p>
        </w:tc>
        <w:tc>
          <w:tcPr>
            <w:tcW w:type="dxa" w:w="3437"/>
            <w:shd w:fill="002C5E"/>
            <w:vAlign w:val="center"/>
          </w:tcPr>
          <w:p>
            <w:pPr>
              <w:spacing w:after="40"/>
            </w:pPr>
            <w:r/>
            <w:r>
              <w:rPr>
                <w:rFonts w:ascii="Arial" w:hAnsi="Arial"/>
                <w:b/>
                <w:color w:val="FFFFFF"/>
                <w:sz w:val="19"/>
              </w:rPr>
              <w:t>Inhalt, Text und Aufgabe</w:t>
            </w:r>
          </w:p>
        </w:tc>
        <w:tc>
          <w:tcPr>
            <w:tcW w:type="dxa" w:w="3437"/>
            <w:shd w:fill="002C5E"/>
            <w:vAlign w:val="center"/>
          </w:tcPr>
          <w:p>
            <w:pPr>
              <w:spacing w:after="40"/>
            </w:pPr>
            <w:r/>
            <w:r>
              <w:rPr>
                <w:rFonts w:ascii="Arial" w:hAnsi="Arial"/>
                <w:b/>
                <w:color w:val="FFFFFF"/>
                <w:sz w:val="19"/>
              </w:rPr>
              <w:t>Block-Typ / Umsetzung</w:t>
            </w:r>
          </w:p>
        </w:tc>
      </w:tr>
      <w:tr>
        <w:tc>
          <w:tcPr>
            <w:tcW w:type="dxa" w:w="1701"/>
            <w:vAlign w:val="top"/>
          </w:tcPr>
          <w:p>
            <w:pPr>
              <w:spacing w:after="40"/>
            </w:pPr>
            <w:r/>
            <w:r>
              <w:rPr>
                <w:rFonts w:ascii="Arial" w:hAnsi="Arial"/>
                <w:b/>
                <w:sz w:val="18"/>
              </w:rPr>
              <w:t>1.1 Einstieg</w:t>
            </w:r>
          </w:p>
        </w:tc>
        <w:tc>
          <w:tcPr>
            <w:tcW w:type="dxa" w:w="5783"/>
            <w:vAlign w:val="top"/>
          </w:tcPr>
          <w:p>
            <w:pPr>
              <w:spacing w:after="40"/>
            </w:pPr>
            <w:r/>
            <w:r>
              <w:rPr>
                <w:rFonts w:ascii="Arial" w:hAnsi="Arial"/>
                <w:b w:val="0"/>
                <w:sz w:val="19"/>
              </w:rPr>
              <w:t>KI kann Kommunikationsarbeit beschleunigen, strukturieren und qualitativ unterstützen. Gleichzeitig bleiben Glaubwürdigkeit, Sorgfalt und Absenderschaft zentral. Leitgedanke: Wir nutzen KI, um effizienter zu arbeiten und die Dienstleistungsqualität zu erhöhen. Wir gestalten den technologischen Wandel aktiv mit.</w:t>
            </w:r>
          </w:p>
        </w:tc>
        <w:tc>
          <w:tcPr>
            <w:tcW w:type="dxa" w:w="1928"/>
            <w:vAlign w:val="top"/>
          </w:tcPr>
          <w:p>
            <w:pPr>
              <w:spacing w:after="40"/>
            </w:pPr>
            <w:r/>
            <w:r>
              <w:rPr>
                <w:rFonts w:ascii="Arial" w:hAnsi="Arial"/>
                <w:b w:val="0"/>
                <w:sz w:val="18"/>
              </w:rPr>
              <w:t>Textblock mit kurzer Einstiegsfrage</w:t>
            </w:r>
          </w:p>
          <w:p>
            <w:pPr>
              <w:spacing w:after="40"/>
            </w:pPr>
            <w:r>
              <w:rPr>
                <w:rFonts w:ascii="Arial" w:hAnsi="Arial"/>
                <w:b w:val="0"/>
                <w:sz w:val="18"/>
              </w:rPr>
              <w:t>«Wo begegnet KI in der Kommunikationsarbeit bereits heute?»</w:t>
            </w:r>
          </w:p>
        </w:tc>
      </w:tr>
      <w:tr>
        <w:tc>
          <w:tcPr>
            <w:tcW w:type="dxa" w:w="1701"/>
            <w:vAlign w:val="top"/>
          </w:tcPr>
          <w:p>
            <w:pPr>
              <w:spacing w:after="40"/>
            </w:pPr>
            <w:r/>
            <w:r>
              <w:rPr>
                <w:rFonts w:ascii="Arial" w:hAnsi="Arial"/>
                <w:b/>
                <w:sz w:val="18"/>
              </w:rPr>
              <w:t>1.2 Überblick</w:t>
            </w:r>
          </w:p>
        </w:tc>
        <w:tc>
          <w:tcPr>
            <w:tcW w:type="dxa" w:w="5783"/>
            <w:vAlign w:val="top"/>
          </w:tcPr>
          <w:p>
            <w:pPr>
              <w:spacing w:after="40"/>
            </w:pPr>
            <w:r/>
            <w:r>
              <w:rPr>
                <w:rFonts w:ascii="Arial" w:hAnsi="Arial"/>
                <w:b/>
                <w:sz w:val="19"/>
              </w:rPr>
              <w:t>Die fünf KI-Kommunikationsprinzipien</w:t>
            </w:r>
          </w:p>
          <w:p>
            <w:pPr>
              <w:spacing w:after="30"/>
              <w:ind w:left="198" w:hanging="142"/>
            </w:pPr>
            <w:r>
              <w:rPr>
                <w:rFonts w:ascii="Arial" w:hAnsi="Arial"/>
                <w:sz w:val="18"/>
              </w:rPr>
              <w:t>• Primat der menschlichen Absenderschaft: Publizierte Inhalte bleiben in menschlicher Verantwortung.</w:t>
            </w:r>
          </w:p>
          <w:p>
            <w:pPr>
              <w:spacing w:after="30"/>
              <w:ind w:left="198" w:hanging="142"/>
            </w:pPr>
            <w:r>
              <w:rPr>
                <w:rFonts w:ascii="Arial" w:hAnsi="Arial"/>
                <w:sz w:val="18"/>
              </w:rPr>
              <w:t>• Glaubwürdigkeit und Reputation: Inhalte werden faktisch geprüft und müssen den Werten der Stadt entsprechen.</w:t>
            </w:r>
          </w:p>
          <w:p>
            <w:pPr>
              <w:spacing w:after="30"/>
              <w:ind w:left="198" w:hanging="142"/>
            </w:pPr>
            <w:r>
              <w:rPr>
                <w:rFonts w:ascii="Arial" w:hAnsi="Arial"/>
                <w:sz w:val="18"/>
              </w:rPr>
              <w:t>• Wahrung der städtischen Identität: Tonalität, Sprach- und Gestaltungsvorgaben bleiben verbindlich.</w:t>
            </w:r>
          </w:p>
          <w:p>
            <w:pPr>
              <w:spacing w:after="30"/>
              <w:ind w:left="198" w:hanging="142"/>
            </w:pPr>
            <w:r>
              <w:rPr>
                <w:rFonts w:ascii="Arial" w:hAnsi="Arial"/>
                <w:sz w:val="18"/>
              </w:rPr>
              <w:t>• Rechte Dritter respektieren: Urheber-, Nutzungs- und Persönlichkeitsrechte sind zu beachten.</w:t>
            </w:r>
          </w:p>
          <w:p>
            <w:pPr>
              <w:spacing w:after="30"/>
              <w:ind w:left="198" w:hanging="142"/>
            </w:pPr>
            <w:r>
              <w:rPr>
                <w:rFonts w:ascii="Arial" w:hAnsi="Arial"/>
                <w:sz w:val="18"/>
              </w:rPr>
              <w:t>• Transparenz: KI-Einsatz wird gemäss Regelung offengelegt oder gekennzeichnet.</w:t>
            </w:r>
          </w:p>
        </w:tc>
        <w:tc>
          <w:tcPr>
            <w:tcW w:type="dxa" w:w="1928"/>
            <w:vAlign w:val="top"/>
          </w:tcPr>
          <w:p>
            <w:pPr>
              <w:spacing w:after="40"/>
            </w:pPr>
            <w:r/>
            <w:r>
              <w:rPr>
                <w:rFonts w:ascii="Arial" w:hAnsi="Arial"/>
                <w:b w:val="0"/>
                <w:sz w:val="18"/>
              </w:rPr>
              <w:t>Akkordeon / Tabs</w:t>
            </w:r>
          </w:p>
          <w:p>
            <w:pPr>
              <w:spacing w:after="40"/>
            </w:pPr>
            <w:r>
              <w:rPr>
                <w:rFonts w:ascii="Arial" w:hAnsi="Arial"/>
                <w:b w:val="0"/>
                <w:sz w:val="18"/>
              </w:rPr>
              <w:t>Pro Prinzip eine Karte mit Kurzdefinition und Beispiel</w:t>
            </w:r>
          </w:p>
        </w:tc>
      </w:tr>
      <w:tr>
        <w:tc>
          <w:tcPr>
            <w:tcW w:type="dxa" w:w="1701"/>
            <w:vAlign w:val="top"/>
          </w:tcPr>
          <w:p>
            <w:pPr>
              <w:spacing w:after="40"/>
            </w:pPr>
            <w:r/>
            <w:r>
              <w:rPr>
                <w:rFonts w:ascii="Arial" w:hAnsi="Arial"/>
                <w:b/>
                <w:sz w:val="18"/>
              </w:rPr>
              <w:t>1.3 Vertiefung</w:t>
            </w:r>
          </w:p>
        </w:tc>
        <w:tc>
          <w:tcPr>
            <w:tcW w:type="dxa" w:w="5783"/>
            <w:vAlign w:val="top"/>
          </w:tcPr>
          <w:p>
            <w:pPr>
              <w:spacing w:after="40"/>
            </w:pPr>
            <w:r/>
            <w:r>
              <w:rPr>
                <w:rFonts w:ascii="Arial" w:hAnsi="Arial"/>
                <w:b/>
                <w:sz w:val="19"/>
              </w:rPr>
              <w:t>Merksatz für die Praxis</w:t>
            </w:r>
          </w:p>
          <w:p>
            <w:pPr>
              <w:spacing w:after="30"/>
              <w:ind w:left="198" w:hanging="142"/>
            </w:pPr>
            <w:r>
              <w:rPr>
                <w:rFonts w:ascii="Arial" w:hAnsi="Arial"/>
                <w:sz w:val="18"/>
              </w:rPr>
              <w:t>• KI liefert Vorschläge, Varianten und Struktur. Die Kommunikation entscheidet über Wahrheit, Haltung, Tonalität, Rechte, Kontext und Publikation.</w:t>
            </w:r>
          </w:p>
          <w:p>
            <w:pPr>
              <w:spacing w:after="30"/>
              <w:ind w:left="198" w:hanging="142"/>
            </w:pPr>
            <w:r>
              <w:rPr>
                <w:rFonts w:ascii="Arial" w:hAnsi="Arial"/>
                <w:sz w:val="18"/>
              </w:rPr>
              <w:t>• Ein professionell wirkender KI-Output ist nicht automatisch ein geprüfter oder geeigneter Kommunikationsinhalt.</w:t>
            </w:r>
          </w:p>
        </w:tc>
        <w:tc>
          <w:tcPr>
            <w:tcW w:type="dxa" w:w="1928"/>
            <w:vAlign w:val="top"/>
          </w:tcPr>
          <w:p>
            <w:pPr>
              <w:spacing w:after="40"/>
            </w:pPr>
            <w:r/>
            <w:r>
              <w:rPr>
                <w:rFonts w:ascii="Arial" w:hAnsi="Arial"/>
                <w:b w:val="0"/>
                <w:sz w:val="18"/>
              </w:rPr>
              <w:t>Merkkarte / Statement-Block</w:t>
            </w:r>
          </w:p>
        </w:tc>
      </w:tr>
      <w:tr>
        <w:tc>
          <w:tcPr>
            <w:tcW w:type="dxa" w:w="1701"/>
            <w:vAlign w:val="top"/>
          </w:tcPr>
          <w:p>
            <w:pPr>
              <w:spacing w:after="40"/>
            </w:pPr>
            <w:r/>
            <w:r>
              <w:rPr>
                <w:rFonts w:ascii="Arial" w:hAnsi="Arial"/>
                <w:b/>
                <w:sz w:val="18"/>
              </w:rPr>
              <w:t>1.4 Praxisbeispiel</w:t>
            </w:r>
          </w:p>
        </w:tc>
        <w:tc>
          <w:tcPr>
            <w:tcW w:type="dxa" w:w="5783"/>
            <w:vAlign w:val="top"/>
          </w:tcPr>
          <w:p>
            <w:pPr>
              <w:spacing w:after="40"/>
            </w:pPr>
            <w:r/>
            <w:r>
              <w:rPr>
                <w:rFonts w:ascii="Arial" w:hAnsi="Arial"/>
                <w:b w:val="0"/>
                <w:sz w:val="19"/>
              </w:rPr>
              <w:t>Situation: Eine KI formuliert aus Stichworten eine Medienmitteilung. Der Text ist sprachlich gut, enthält aber eine nicht belegte Zahl und einen leicht werblichen Ton. Aufgabe: Markieren Sie die Stellen, die vor einer Freigabe zwingend geprüft oder angepasst werden müssen.</w:t>
            </w:r>
          </w:p>
        </w:tc>
        <w:tc>
          <w:tcPr>
            <w:tcW w:type="dxa" w:w="1928"/>
            <w:vAlign w:val="top"/>
          </w:tcPr>
          <w:p>
            <w:pPr>
              <w:spacing w:after="40"/>
            </w:pPr>
            <w:r/>
            <w:r>
              <w:rPr>
                <w:rFonts w:ascii="Arial" w:hAnsi="Arial"/>
                <w:b w:val="0"/>
                <w:sz w:val="18"/>
              </w:rPr>
              <w:t>Szenario mit Markieraufgabe</w:t>
            </w:r>
          </w:p>
          <w:p>
            <w:pPr>
              <w:spacing w:after="40"/>
            </w:pPr>
            <w:r>
              <w:rPr>
                <w:rFonts w:ascii="Arial" w:hAnsi="Arial"/>
                <w:b w:val="0"/>
                <w:sz w:val="18"/>
              </w:rPr>
              <w:t>Feedback nach Auswahl</w:t>
            </w:r>
          </w:p>
        </w:tc>
      </w:tr>
      <w:tr>
        <w:tc>
          <w:tcPr>
            <w:tcW w:type="dxa" w:w="1701"/>
            <w:vAlign w:val="top"/>
            <w:shd w:fill="EAF2F8"/>
          </w:tcPr>
          <w:p>
            <w:pPr>
              <w:spacing w:after="40"/>
            </w:pPr>
            <w:r/>
            <w:r>
              <w:rPr>
                <w:rFonts w:ascii="Arial" w:hAnsi="Arial"/>
                <w:b/>
                <w:sz w:val="18"/>
              </w:rPr>
              <w:t>1.5 Lernzielkontrolle A</w:t>
            </w:r>
          </w:p>
        </w:tc>
        <w:tc>
          <w:tcPr>
            <w:tcW w:type="dxa" w:w="5783"/>
            <w:vAlign w:val="top"/>
            <w:shd w:fill="EAF2F8"/>
          </w:tcPr>
          <w:p>
            <w:pPr>
              <w:spacing w:after="40"/>
            </w:pPr>
            <w:r/>
            <w:r>
              <w:rPr>
                <w:rFonts w:ascii="Arial" w:hAnsi="Arial"/>
                <w:b w:val="0"/>
                <w:sz w:val="19"/>
              </w:rPr>
              <w:t>Single Choice: Wer trägt die Verantwortung für einen publizierten KI-gestützten Inhalt?</w:t>
            </w:r>
          </w:p>
          <w:p>
            <w:pPr>
              <w:spacing w:after="40"/>
            </w:pPr>
            <w:r>
              <w:rPr>
                <w:rFonts w:ascii="Arial" w:hAnsi="Arial"/>
                <w:b w:val="0"/>
                <w:sz w:val="19"/>
              </w:rPr>
              <w:t>A: Das KI-System.</w:t>
            </w:r>
          </w:p>
          <w:p>
            <w:pPr>
              <w:spacing w:after="40"/>
            </w:pPr>
            <w:r>
              <w:rPr>
                <w:rFonts w:ascii="Arial" w:hAnsi="Arial"/>
                <w:b w:val="0"/>
                <w:sz w:val="19"/>
              </w:rPr>
              <w:t>B: Die nutzende Person bzw. zuständige Dienstabteilung im bestehenden Freigabeprozess. [richtig]</w:t>
            </w:r>
          </w:p>
          <w:p>
            <w:pPr>
              <w:spacing w:after="40"/>
            </w:pPr>
            <w:r>
              <w:rPr>
                <w:rFonts w:ascii="Arial" w:hAnsi="Arial"/>
                <w:b w:val="0"/>
                <w:sz w:val="19"/>
              </w:rPr>
              <w:t>C: Der Toolanbieter.</w:t>
            </w:r>
          </w:p>
          <w:p>
            <w:pPr>
              <w:spacing w:after="40"/>
            </w:pPr>
            <w:r>
              <w:rPr>
                <w:rFonts w:ascii="Arial" w:hAnsi="Arial"/>
                <w:b w:val="0"/>
                <w:sz w:val="19"/>
              </w:rPr>
              <w:t>D: Niemand, wenn der Text nur redaktionell überarbeitet wurde.</w:t>
            </w:r>
          </w:p>
          <w:p>
            <w:pPr>
              <w:spacing w:after="40"/>
            </w:pPr>
            <w:r>
              <w:rPr>
                <w:rFonts w:ascii="Arial" w:hAnsi="Arial"/>
                <w:b w:val="0"/>
                <w:sz w:val="19"/>
              </w:rPr>
              <w:t>Feedback richtig: Verantwortung bleibt menschlich und organisatorisch verankert.</w:t>
            </w:r>
          </w:p>
          <w:p>
            <w:pPr>
              <w:spacing w:after="40"/>
            </w:pPr>
            <w:r>
              <w:rPr>
                <w:rFonts w:ascii="Arial" w:hAnsi="Arial"/>
                <w:b w:val="0"/>
                <w:sz w:val="19"/>
              </w:rPr>
              <w:t>Feedback falsch: KI kann unterstützen, übernimmt aber keine Absenderschaft und keine Verantwortung.</w:t>
            </w:r>
          </w:p>
        </w:tc>
        <w:tc>
          <w:tcPr>
            <w:tcW w:type="dxa" w:w="1928"/>
            <w:vAlign w:val="top"/>
            <w:shd w:fill="EAF2F8"/>
          </w:tcPr>
          <w:p>
            <w:pPr>
              <w:spacing w:after="40"/>
            </w:pPr>
            <w:r/>
            <w:r>
              <w:rPr>
                <w:rFonts w:ascii="Arial" w:hAnsi="Arial"/>
                <w:b w:val="0"/>
                <w:sz w:val="18"/>
              </w:rPr>
              <w:t>Quiz: Single Choice</w:t>
            </w:r>
          </w:p>
        </w:tc>
      </w:tr>
      <w:tr>
        <w:tc>
          <w:tcPr>
            <w:tcW w:type="dxa" w:w="1701"/>
            <w:vAlign w:val="top"/>
            <w:shd w:fill="EAF2F8"/>
          </w:tcPr>
          <w:p>
            <w:pPr>
              <w:spacing w:after="40"/>
            </w:pPr>
            <w:r/>
            <w:r>
              <w:rPr>
                <w:rFonts w:ascii="Arial" w:hAnsi="Arial"/>
                <w:b/>
                <w:sz w:val="18"/>
              </w:rPr>
              <w:t>1.6 Lernzielkontrolle B</w:t>
            </w:r>
          </w:p>
        </w:tc>
        <w:tc>
          <w:tcPr>
            <w:tcW w:type="dxa" w:w="5783"/>
            <w:vAlign w:val="top"/>
            <w:shd w:fill="EAF2F8"/>
          </w:tcPr>
          <w:p>
            <w:pPr>
              <w:spacing w:after="40"/>
            </w:pPr>
            <w:r/>
            <w:r>
              <w:rPr>
                <w:rFonts w:ascii="Arial" w:hAnsi="Arial"/>
                <w:b w:val="0"/>
                <w:sz w:val="19"/>
              </w:rPr>
              <w:t>Zuordnung: Ordnen Sie Beispiele den Prinzipien zu.</w:t>
            </w:r>
          </w:p>
          <w:p>
            <w:pPr>
              <w:spacing w:after="40"/>
            </w:pPr>
            <w:r>
              <w:rPr>
                <w:rFonts w:ascii="Arial" w:hAnsi="Arial"/>
                <w:b w:val="0"/>
                <w:sz w:val="19"/>
              </w:rPr>
              <w:t>1. Unbelegte Zahl in einem KI-Entwurf → Glaubwürdigkeit und Reputation.</w:t>
            </w:r>
          </w:p>
          <w:p>
            <w:pPr>
              <w:spacing w:after="40"/>
            </w:pPr>
            <w:r>
              <w:rPr>
                <w:rFonts w:ascii="Arial" w:hAnsi="Arial"/>
                <w:b w:val="0"/>
                <w:sz w:val="19"/>
              </w:rPr>
              <w:t>2. Text klingt nicht wie Stadt Zürich → Wahrung der städtischen Identität.</w:t>
            </w:r>
          </w:p>
          <w:p>
            <w:pPr>
              <w:spacing w:after="40"/>
            </w:pPr>
            <w:r>
              <w:rPr>
                <w:rFonts w:ascii="Arial" w:hAnsi="Arial"/>
                <w:b w:val="0"/>
                <w:sz w:val="19"/>
              </w:rPr>
              <w:t>3. KI übernimmt Bildstil einer Agenturarbeit → Rechte Dritter respektieren.</w:t>
            </w:r>
          </w:p>
          <w:p>
            <w:pPr>
              <w:spacing w:after="40"/>
            </w:pPr>
            <w:r>
              <w:rPr>
                <w:rFonts w:ascii="Arial" w:hAnsi="Arial"/>
                <w:b w:val="0"/>
                <w:sz w:val="19"/>
              </w:rPr>
              <w:t>4. Automatisch publizierte KI-Antwort ohne Kontrolle → Primat menschlicher Absenderschaft / Transparenz.</w:t>
            </w:r>
          </w:p>
          <w:p>
            <w:pPr>
              <w:spacing w:after="40"/>
            </w:pPr>
            <w:r>
              <w:rPr>
                <w:rFonts w:ascii="Arial" w:hAnsi="Arial"/>
                <w:b w:val="0"/>
                <w:sz w:val="19"/>
              </w:rPr>
              <w:t>5. Bevölkerung fragt nach KI-Einsatz → Transparenz.</w:t>
            </w:r>
          </w:p>
        </w:tc>
        <w:tc>
          <w:tcPr>
            <w:tcW w:type="dxa" w:w="1928"/>
            <w:vAlign w:val="top"/>
            <w:shd w:fill="EAF2F8"/>
          </w:tcPr>
          <w:p>
            <w:pPr>
              <w:spacing w:after="40"/>
            </w:pPr>
            <w:r/>
            <w:r>
              <w:rPr>
                <w:rFonts w:ascii="Arial" w:hAnsi="Arial"/>
                <w:b w:val="0"/>
                <w:sz w:val="18"/>
              </w:rPr>
              <w:t>Quiz: Zuordnung / Drag-and-drop</w:t>
            </w:r>
          </w:p>
        </w:tc>
      </w:tr>
      <w:tr>
        <w:tc>
          <w:tcPr>
            <w:tcW w:type="dxa" w:w="1701"/>
            <w:vAlign w:val="top"/>
            <w:shd w:fill="EAF2F8"/>
          </w:tcPr>
          <w:p>
            <w:pPr>
              <w:spacing w:after="40"/>
            </w:pPr>
            <w:r/>
            <w:r>
              <w:rPr>
                <w:rFonts w:ascii="Arial" w:hAnsi="Arial"/>
                <w:b/>
                <w:sz w:val="18"/>
              </w:rPr>
              <w:t>1.7 Lernzielkontrolle C</w:t>
            </w:r>
          </w:p>
        </w:tc>
        <w:tc>
          <w:tcPr>
            <w:tcW w:type="dxa" w:w="5783"/>
            <w:vAlign w:val="top"/>
            <w:shd w:fill="EAF2F8"/>
          </w:tcPr>
          <w:p>
            <w:pPr>
              <w:spacing w:after="40"/>
            </w:pPr>
            <w:r/>
            <w:r>
              <w:rPr>
                <w:rFonts w:ascii="Arial" w:hAnsi="Arial"/>
                <w:b w:val="0"/>
                <w:sz w:val="19"/>
              </w:rPr>
              <w:t>Entscheidfrage: Ein KI-Tool schlägt eine zugespitzte Kampagnenbotschaft vor, die aufmerksamkeitsstark ist, aber emotional übertreibt. Was ist die beste Reaktion?</w:t>
            </w:r>
          </w:p>
          <w:p>
            <w:pPr>
              <w:spacing w:after="40"/>
            </w:pPr>
            <w:r>
              <w:rPr>
                <w:rFonts w:ascii="Arial" w:hAnsi="Arial"/>
                <w:b w:val="0"/>
                <w:sz w:val="19"/>
              </w:rPr>
              <w:t>Richtige Lösung: Botschaft nicht ungeprüft übernehmen; Fakten, Verhältnismässigkeit, Tonalität und Wirkung prüfen; bei Bedarf nüchterner und städtisch formulieren.</w:t>
            </w:r>
          </w:p>
          <w:p>
            <w:pPr>
              <w:spacing w:after="40"/>
            </w:pPr>
            <w:r>
              <w:rPr>
                <w:rFonts w:ascii="Arial" w:hAnsi="Arial"/>
                <w:b w:val="0"/>
                <w:sz w:val="19"/>
              </w:rPr>
              <w:t>Feedback: Kommunikationswirkung ist wichtig, aber nicht wichtiger als Sachlichkeit, Glaubwürdigkeit und städtische Identität.</w:t>
            </w:r>
          </w:p>
        </w:tc>
        <w:tc>
          <w:tcPr>
            <w:tcW w:type="dxa" w:w="1928"/>
            <w:vAlign w:val="top"/>
            <w:shd w:fill="EAF2F8"/>
          </w:tcPr>
          <w:p>
            <w:pPr>
              <w:spacing w:after="40"/>
            </w:pPr>
            <w:r/>
            <w:r>
              <w:rPr>
                <w:rFonts w:ascii="Arial" w:hAnsi="Arial"/>
                <w:b w:val="0"/>
                <w:sz w:val="18"/>
              </w:rPr>
              <w:t>Quiz: Fallentscheidung mit Feedback</w:t>
            </w:r>
          </w:p>
        </w:tc>
      </w:tr>
      <w:tr>
        <w:tc>
          <w:tcPr>
            <w:tcW w:type="dxa" w:w="1701"/>
            <w:vAlign w:val="top"/>
          </w:tcPr>
          <w:p>
            <w:pPr>
              <w:spacing w:after="40"/>
            </w:pPr>
            <w:r/>
            <w:r>
              <w:rPr>
                <w:rFonts w:ascii="Arial" w:hAnsi="Arial"/>
                <w:b/>
                <w:sz w:val="18"/>
              </w:rPr>
              <w:t>1.8 Abschluss</w:t>
            </w:r>
          </w:p>
        </w:tc>
        <w:tc>
          <w:tcPr>
            <w:tcW w:type="dxa" w:w="5783"/>
            <w:vAlign w:val="top"/>
          </w:tcPr>
          <w:p>
            <w:pPr>
              <w:spacing w:after="40"/>
            </w:pPr>
            <w:r/>
            <w:r>
              <w:rPr>
                <w:rFonts w:ascii="Arial" w:hAnsi="Arial"/>
                <w:b w:val="0"/>
                <w:sz w:val="19"/>
              </w:rPr>
              <w:t>Take-away: Die Prinzipien sind keine Zusatzadministration. Sie sichern Vertrauen, Qualität und Handlungsfähigkeit, wenn KI in der Kommunikationsarbeit produktiv genutzt wird.</w:t>
            </w:r>
          </w:p>
        </w:tc>
        <w:tc>
          <w:tcPr>
            <w:tcW w:type="dxa" w:w="1928"/>
            <w:vAlign w:val="top"/>
          </w:tcPr>
          <w:p>
            <w:pPr>
              <w:spacing w:after="40"/>
            </w:pPr>
            <w:r/>
            <w:r>
              <w:rPr>
                <w:rFonts w:ascii="Arial" w:hAnsi="Arial"/>
                <w:b w:val="0"/>
                <w:sz w:val="18"/>
              </w:rPr>
              <w:t>Kurzer Abschlussblock</w:t>
            </w:r>
          </w:p>
        </w:tc>
      </w:tr>
    </w:tbl>
    <w:p>
      <w:r>
        <w:br w:type="page"/>
      </w:r>
    </w:p>
    <w:p>
      <w:pPr>
        <w:pStyle w:val="Heading1"/>
        <w:spacing w:before="120" w:after="80"/>
      </w:pPr>
      <w:r>
        <w:rPr>
          <w:rFonts w:ascii="Arial" w:hAnsi="Arial"/>
          <w:b/>
          <w:color w:val="002C5E"/>
          <w:sz w:val="36"/>
        </w:rPr>
        <w:t>Lektion 2: Transparenz mit Lernkontrolle</w:t>
      </w:r>
    </w:p>
    <w:p>
      <w:pPr>
        <w:spacing w:after="80"/>
      </w:pPr>
      <w:r>
        <w:rPr>
          <w:rFonts w:ascii="Arial" w:hAnsi="Arial"/>
          <w:b w:val="0"/>
          <w:i/>
          <w:sz w:val="21"/>
        </w:rPr>
        <w:t>Ziel der Lektion: Die Teilnehmenden können einschätzen, wann KI-Einsatz deklariert werden muss und welche Regeln bei Bild, Video, Audio und Deepfakes gelten.</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002C5E"/>
            <w:vAlign w:val="center"/>
          </w:tcPr>
          <w:p>
            <w:pPr>
              <w:spacing w:after="40"/>
            </w:pPr>
            <w:r/>
            <w:r>
              <w:rPr>
                <w:rFonts w:ascii="Arial" w:hAnsi="Arial"/>
                <w:b/>
                <w:color w:val="FFFFFF"/>
                <w:sz w:val="19"/>
              </w:rPr>
              <w:t>Screen / Sequenz</w:t>
            </w:r>
          </w:p>
        </w:tc>
        <w:tc>
          <w:tcPr>
            <w:tcW w:type="dxa" w:w="3437"/>
            <w:shd w:fill="002C5E"/>
            <w:vAlign w:val="center"/>
          </w:tcPr>
          <w:p>
            <w:pPr>
              <w:spacing w:after="40"/>
            </w:pPr>
            <w:r/>
            <w:r>
              <w:rPr>
                <w:rFonts w:ascii="Arial" w:hAnsi="Arial"/>
                <w:b/>
                <w:color w:val="FFFFFF"/>
                <w:sz w:val="19"/>
              </w:rPr>
              <w:t>Inhalt, Text und Aufgabe</w:t>
            </w:r>
          </w:p>
        </w:tc>
        <w:tc>
          <w:tcPr>
            <w:tcW w:type="dxa" w:w="3437"/>
            <w:shd w:fill="002C5E"/>
            <w:vAlign w:val="center"/>
          </w:tcPr>
          <w:p>
            <w:pPr>
              <w:spacing w:after="40"/>
            </w:pPr>
            <w:r/>
            <w:r>
              <w:rPr>
                <w:rFonts w:ascii="Arial" w:hAnsi="Arial"/>
                <w:b/>
                <w:color w:val="FFFFFF"/>
                <w:sz w:val="19"/>
              </w:rPr>
              <w:t>Block-Typ / Umsetzung</w:t>
            </w:r>
          </w:p>
        </w:tc>
      </w:tr>
      <w:tr>
        <w:tc>
          <w:tcPr>
            <w:tcW w:type="dxa" w:w="1701"/>
            <w:vAlign w:val="top"/>
          </w:tcPr>
          <w:p>
            <w:pPr>
              <w:spacing w:after="40"/>
            </w:pPr>
            <w:r/>
            <w:r>
              <w:rPr>
                <w:rFonts w:ascii="Arial" w:hAnsi="Arial"/>
                <w:b/>
                <w:sz w:val="18"/>
              </w:rPr>
              <w:t>2.1 Einstieg</w:t>
            </w:r>
          </w:p>
        </w:tc>
        <w:tc>
          <w:tcPr>
            <w:tcW w:type="dxa" w:w="5783"/>
            <w:vAlign w:val="top"/>
          </w:tcPr>
          <w:p>
            <w:pPr>
              <w:spacing w:after="40"/>
            </w:pPr>
            <w:r/>
            <w:r>
              <w:rPr>
                <w:rFonts w:ascii="Arial" w:hAnsi="Arial"/>
                <w:b w:val="0"/>
                <w:sz w:val="19"/>
              </w:rPr>
              <w:t>Transparenz schafft Vertrauen. Die Bevölkerung soll erkennen können, ob sie mit einem Menschen oder einer Maschine interagiert und ob ein Inhalt KI-generiert ist. Gleichzeitig ist nicht jede interne KI-Unterstützung deklarationspflichtig.</w:t>
            </w:r>
          </w:p>
        </w:tc>
        <w:tc>
          <w:tcPr>
            <w:tcW w:type="dxa" w:w="1928"/>
            <w:vAlign w:val="top"/>
          </w:tcPr>
          <w:p>
            <w:pPr>
              <w:spacing w:after="40"/>
            </w:pPr>
            <w:r/>
            <w:r>
              <w:rPr>
                <w:rFonts w:ascii="Arial" w:hAnsi="Arial"/>
                <w:b w:val="0"/>
                <w:sz w:val="18"/>
              </w:rPr>
              <w:t>Textblock mit Leitfrage</w:t>
            </w:r>
          </w:p>
        </w:tc>
      </w:tr>
      <w:tr>
        <w:tc>
          <w:tcPr>
            <w:tcW w:type="dxa" w:w="1701"/>
            <w:vAlign w:val="top"/>
          </w:tcPr>
          <w:p>
            <w:pPr>
              <w:spacing w:after="40"/>
            </w:pPr>
            <w:r/>
            <w:r>
              <w:rPr>
                <w:rFonts w:ascii="Arial" w:hAnsi="Arial"/>
                <w:b/>
                <w:sz w:val="18"/>
              </w:rPr>
              <w:t>2.2 Grundregel Text</w:t>
            </w:r>
          </w:p>
        </w:tc>
        <w:tc>
          <w:tcPr>
            <w:tcW w:type="dxa" w:w="5783"/>
            <w:vAlign w:val="top"/>
          </w:tcPr>
          <w:p>
            <w:pPr>
              <w:spacing w:after="40"/>
            </w:pPr>
            <w:r/>
            <w:r>
              <w:rPr>
                <w:rFonts w:ascii="Arial" w:hAnsi="Arial"/>
                <w:b w:val="0"/>
                <w:sz w:val="19"/>
              </w:rPr>
              <w:t>Textgenerierung: Die Deklaration richtet sich nach dem Grad der KI-Leistung.</w:t>
            </w:r>
          </w:p>
          <w:p>
            <w:pPr>
              <w:spacing w:after="40"/>
            </w:pPr>
            <w:r>
              <w:rPr>
                <w:rFonts w:ascii="Arial" w:hAnsi="Arial"/>
                <w:b w:val="0"/>
                <w:sz w:val="19"/>
              </w:rPr>
              <w:t>Keine Deklaration: Inhalte wurden durch einen Menschen kontrolliert, geprüft und verantwortet.</w:t>
            </w:r>
          </w:p>
          <w:p>
            <w:pPr>
              <w:spacing w:after="40"/>
            </w:pPr>
            <w:r>
              <w:rPr>
                <w:rFonts w:ascii="Arial" w:hAnsi="Arial"/>
                <w:b w:val="0"/>
                <w:sz w:val="19"/>
              </w:rPr>
              <w:t>Deklaration: Inhalte werden ohne menschliche Kontrolle generiert oder publiziert, zum Beispiel automatische Übersetzung auf der Website.</w:t>
            </w:r>
          </w:p>
          <w:p>
            <w:pPr>
              <w:spacing w:after="40"/>
            </w:pPr>
            <w:r>
              <w:rPr>
                <w:rFonts w:ascii="Arial" w:hAnsi="Arial"/>
                <w:b w:val="0"/>
                <w:sz w:val="19"/>
              </w:rPr>
              <w:t>Hinweis Produktion: finalen Wortlaut mit Transparenzregelung und geltender KI-Richtlinie abgleichen.</w:t>
            </w:r>
          </w:p>
        </w:tc>
        <w:tc>
          <w:tcPr>
            <w:tcW w:type="dxa" w:w="1928"/>
            <w:vAlign w:val="top"/>
          </w:tcPr>
          <w:p>
            <w:pPr>
              <w:spacing w:after="40"/>
            </w:pPr>
            <w:r/>
            <w:r>
              <w:rPr>
                <w:rFonts w:ascii="Arial" w:hAnsi="Arial"/>
                <w:b w:val="0"/>
                <w:sz w:val="18"/>
              </w:rPr>
              <w:t>Prozesskarte / Entscheidregel</w:t>
            </w:r>
          </w:p>
        </w:tc>
      </w:tr>
      <w:tr>
        <w:tc>
          <w:tcPr>
            <w:tcW w:type="dxa" w:w="1701"/>
            <w:vAlign w:val="top"/>
          </w:tcPr>
          <w:p>
            <w:pPr>
              <w:spacing w:after="40"/>
            </w:pPr>
            <w:r/>
            <w:r>
              <w:rPr>
                <w:rFonts w:ascii="Arial" w:hAnsi="Arial"/>
                <w:b/>
                <w:sz w:val="18"/>
              </w:rPr>
              <w:t>2.3 Bild und Multimedia</w:t>
            </w:r>
          </w:p>
        </w:tc>
        <w:tc>
          <w:tcPr>
            <w:tcW w:type="dxa" w:w="5783"/>
            <w:vAlign w:val="top"/>
          </w:tcPr>
          <w:p>
            <w:pPr>
              <w:spacing w:after="40"/>
            </w:pPr>
            <w:r/>
            <w:r>
              <w:rPr>
                <w:rFonts w:ascii="Arial" w:hAnsi="Arial"/>
                <w:b/>
                <w:sz w:val="19"/>
              </w:rPr>
              <w:t>Strengere Regeln wegen Manipulationsgefahr</w:t>
            </w:r>
          </w:p>
          <w:p>
            <w:pPr>
              <w:spacing w:after="30"/>
              <w:ind w:left="198" w:hanging="142"/>
            </w:pPr>
            <w:r>
              <w:rPr>
                <w:rFonts w:ascii="Arial" w:hAnsi="Arial"/>
                <w:sz w:val="18"/>
              </w:rPr>
              <w:t>• KI-generierte Bilder müssen als solche gekennzeichnet werden, z. B. «KI-generierte Illustration».</w:t>
            </w:r>
          </w:p>
          <w:p>
            <w:pPr>
              <w:spacing w:after="30"/>
              <w:ind w:left="198" w:hanging="142"/>
            </w:pPr>
            <w:r>
              <w:rPr>
                <w:rFonts w:ascii="Arial" w:hAnsi="Arial"/>
                <w:sz w:val="18"/>
              </w:rPr>
              <w:t>• KI ersetzt keine Fotografie zur Dokumentation realer Gegebenheiten, etwa Baufortschritt oder Ereignisse.</w:t>
            </w:r>
          </w:p>
          <w:p>
            <w:pPr>
              <w:spacing w:after="30"/>
              <w:ind w:left="198" w:hanging="142"/>
            </w:pPr>
            <w:r>
              <w:rPr>
                <w:rFonts w:ascii="Arial" w:hAnsi="Arial"/>
                <w:sz w:val="18"/>
              </w:rPr>
              <w:t>• Keine Generierung fotorealistischer Gesichter oder Personen.</w:t>
            </w:r>
          </w:p>
          <w:p>
            <w:pPr>
              <w:spacing w:after="30"/>
              <w:ind w:left="198" w:hanging="142"/>
            </w:pPr>
            <w:r>
              <w:rPr>
                <w:rFonts w:ascii="Arial" w:hAnsi="Arial"/>
                <w:sz w:val="18"/>
              </w:rPr>
              <w:t>• Keine bekannten Gebäude oder Marken in irreführenden Kontexten.</w:t>
            </w:r>
          </w:p>
          <w:p>
            <w:pPr>
              <w:spacing w:after="30"/>
              <w:ind w:left="198" w:hanging="142"/>
            </w:pPr>
            <w:r>
              <w:rPr>
                <w:rFonts w:ascii="Arial" w:hAnsi="Arial"/>
                <w:sz w:val="18"/>
              </w:rPr>
              <w:t>• CD/CI, Bildwelt und städtische Tonalität bleiben verbindlich.</w:t>
            </w:r>
          </w:p>
        </w:tc>
        <w:tc>
          <w:tcPr>
            <w:tcW w:type="dxa" w:w="1928"/>
            <w:vAlign w:val="top"/>
          </w:tcPr>
          <w:p>
            <w:pPr>
              <w:spacing w:after="40"/>
            </w:pPr>
            <w:r/>
            <w:r>
              <w:rPr>
                <w:rFonts w:ascii="Arial" w:hAnsi="Arial"/>
                <w:b w:val="0"/>
                <w:sz w:val="18"/>
              </w:rPr>
              <w:t>Akkordeon / Checkliste</w:t>
            </w:r>
          </w:p>
        </w:tc>
      </w:tr>
      <w:tr>
        <w:tc>
          <w:tcPr>
            <w:tcW w:type="dxa" w:w="1701"/>
            <w:vAlign w:val="top"/>
          </w:tcPr>
          <w:p>
            <w:pPr>
              <w:spacing w:after="40"/>
            </w:pPr>
            <w:r/>
            <w:r>
              <w:rPr>
                <w:rFonts w:ascii="Arial" w:hAnsi="Arial"/>
                <w:b/>
                <w:sz w:val="18"/>
              </w:rPr>
              <w:t>2.4 Deepfakes</w:t>
            </w:r>
          </w:p>
        </w:tc>
        <w:tc>
          <w:tcPr>
            <w:tcW w:type="dxa" w:w="5783"/>
            <w:vAlign w:val="top"/>
          </w:tcPr>
          <w:p>
            <w:pPr>
              <w:spacing w:after="40"/>
            </w:pPr>
            <w:r/>
            <w:r>
              <w:rPr>
                <w:rFonts w:ascii="Arial" w:hAnsi="Arial"/>
                <w:b w:val="0"/>
                <w:sz w:val="19"/>
              </w:rPr>
              <w:t>Deepfakes sind synthetische oder manipulierte Audio-, Bild- oder Videoinhalte, die reale Personen, Aussagen oder Situationen vortäuschen können. Für die Kommunikation gilt: keine Erstellung von fotorealistischen Personen- oder Stimmenimitationen, keine Weiterverbreitung ungeprüfter Inhalte, Verdachtsfälle sichern und gemäss definiertem Eskalationsweg melden.</w:t>
            </w:r>
          </w:p>
        </w:tc>
        <w:tc>
          <w:tcPr>
            <w:tcW w:type="dxa" w:w="1928"/>
            <w:vAlign w:val="top"/>
          </w:tcPr>
          <w:p>
            <w:pPr>
              <w:spacing w:after="40"/>
            </w:pPr>
            <w:r/>
            <w:r>
              <w:rPr>
                <w:rFonts w:ascii="Arial" w:hAnsi="Arial"/>
                <w:b w:val="0"/>
                <w:sz w:val="18"/>
              </w:rPr>
              <w:t>Infobox Risiko / Eskalationshinweis</w:t>
            </w:r>
          </w:p>
        </w:tc>
      </w:tr>
      <w:tr>
        <w:tc>
          <w:tcPr>
            <w:tcW w:type="dxa" w:w="1701"/>
            <w:vAlign w:val="top"/>
          </w:tcPr>
          <w:p>
            <w:pPr>
              <w:spacing w:after="40"/>
            </w:pPr>
            <w:r/>
            <w:r>
              <w:rPr>
                <w:rFonts w:ascii="Arial" w:hAnsi="Arial"/>
                <w:b/>
                <w:sz w:val="18"/>
              </w:rPr>
              <w:t>2.5 Entscheidbaum</w:t>
            </w:r>
          </w:p>
        </w:tc>
        <w:tc>
          <w:tcPr>
            <w:tcW w:type="dxa" w:w="5783"/>
            <w:vAlign w:val="top"/>
          </w:tcPr>
          <w:p>
            <w:pPr>
              <w:spacing w:after="40"/>
            </w:pPr>
            <w:r/>
            <w:r>
              <w:rPr>
                <w:rFonts w:ascii="Arial" w:hAnsi="Arial"/>
                <w:b w:val="0"/>
                <w:sz w:val="19"/>
              </w:rPr>
              <w:t>Entscheidbaum für Transparenz: 1. Wird der Inhalt extern publiziert oder interagiert die Öffentlichkeit direkt damit? 2. Ist der KI-Beitrag für Inhalt, Aussage, Bild oder Interaktion wesentlich? 3. Wurde der Inhalt vollständig menschlich geprüft und verantwortet? 4. Handelt es sich um Bild, Video, Audio oder automatische Interaktion? 5. Ist eine Kennzeichnung, ein Hinweis oder eine Nichtverwendung erforderlich?</w:t>
            </w:r>
          </w:p>
        </w:tc>
        <w:tc>
          <w:tcPr>
            <w:tcW w:type="dxa" w:w="1928"/>
            <w:vAlign w:val="top"/>
          </w:tcPr>
          <w:p>
            <w:pPr>
              <w:spacing w:after="40"/>
            </w:pPr>
            <w:r/>
            <w:r>
              <w:rPr>
                <w:rFonts w:ascii="Arial" w:hAnsi="Arial"/>
                <w:b w:val="0"/>
                <w:sz w:val="18"/>
              </w:rPr>
              <w:t>Interaktive Entscheidungshilfe</w:t>
            </w:r>
          </w:p>
          <w:p>
            <w:pPr>
              <w:spacing w:after="40"/>
            </w:pPr>
            <w:r>
              <w:rPr>
                <w:rFonts w:ascii="Arial" w:hAnsi="Arial"/>
                <w:b w:val="0"/>
                <w:sz w:val="18"/>
              </w:rPr>
              <w:t>Produktion: als klickbarer Entscheidbaum umsetzen</w:t>
            </w:r>
          </w:p>
        </w:tc>
      </w:tr>
      <w:tr>
        <w:tc>
          <w:tcPr>
            <w:tcW w:type="dxa" w:w="1701"/>
            <w:vAlign w:val="top"/>
            <w:shd w:fill="EAF2F8"/>
          </w:tcPr>
          <w:p>
            <w:pPr>
              <w:spacing w:after="40"/>
            </w:pPr>
            <w:r/>
            <w:r>
              <w:rPr>
                <w:rFonts w:ascii="Arial" w:hAnsi="Arial"/>
                <w:b/>
                <w:sz w:val="18"/>
              </w:rPr>
              <w:t>2.6 Lernzielkontrolle A</w:t>
            </w:r>
          </w:p>
        </w:tc>
        <w:tc>
          <w:tcPr>
            <w:tcW w:type="dxa" w:w="5783"/>
            <w:vAlign w:val="top"/>
            <w:shd w:fill="EAF2F8"/>
          </w:tcPr>
          <w:p>
            <w:pPr>
              <w:spacing w:after="40"/>
            </w:pPr>
            <w:r/>
            <w:r>
              <w:rPr>
                <w:rFonts w:ascii="Arial" w:hAnsi="Arial"/>
                <w:b w:val="0"/>
                <w:sz w:val="19"/>
              </w:rPr>
              <w:t>Deklaration nötig?</w:t>
            </w:r>
          </w:p>
          <w:p>
            <w:pPr>
              <w:spacing w:after="40"/>
            </w:pPr>
            <w:r>
              <w:rPr>
                <w:rFonts w:ascii="Arial" w:hAnsi="Arial"/>
                <w:b w:val="0"/>
                <w:sz w:val="19"/>
              </w:rPr>
              <w:t>A: KI erstellt Rohentwurf für Webtext, Redaktion prüft Fakten und Tonalität vollständig. → Keine Deklaration.</w:t>
            </w:r>
          </w:p>
          <w:p>
            <w:pPr>
              <w:spacing w:after="40"/>
            </w:pPr>
            <w:r>
              <w:rPr>
                <w:rFonts w:ascii="Arial" w:hAnsi="Arial"/>
                <w:b w:val="0"/>
                <w:sz w:val="19"/>
              </w:rPr>
              <w:t>B: Automatische Übersetzung wird ohne sprachliche Kontrolle publiziert. → Deklaration.</w:t>
            </w:r>
          </w:p>
          <w:p>
            <w:pPr>
              <w:spacing w:after="40"/>
            </w:pPr>
            <w:r>
              <w:rPr>
                <w:rFonts w:ascii="Arial" w:hAnsi="Arial"/>
                <w:b w:val="0"/>
                <w:sz w:val="19"/>
              </w:rPr>
              <w:t>C: KI-generierte Illustration für einen Themenbeitrag. → Kennzeichnung als KI-generierte Illustration.</w:t>
            </w:r>
          </w:p>
          <w:p>
            <w:pPr>
              <w:spacing w:after="40"/>
            </w:pPr>
            <w:r>
              <w:rPr>
                <w:rFonts w:ascii="Arial" w:hAnsi="Arial"/>
                <w:b w:val="0"/>
                <w:sz w:val="19"/>
              </w:rPr>
              <w:t>D: KI optimiert Meta Description, Redaktion prüft und publiziert. → Keine Deklaration.</w:t>
            </w:r>
          </w:p>
          <w:p>
            <w:pPr>
              <w:spacing w:after="40"/>
            </w:pPr>
            <w:r>
              <w:rPr>
                <w:rFonts w:ascii="Arial" w:hAnsi="Arial"/>
                <w:b w:val="0"/>
                <w:sz w:val="19"/>
              </w:rPr>
              <w:t>E: KI-generiertes Bild soll realen Baufortschritt zeigen. → Nicht verwenden, weil Realitätsanspruch verletzt wird.</w:t>
            </w:r>
          </w:p>
        </w:tc>
        <w:tc>
          <w:tcPr>
            <w:tcW w:type="dxa" w:w="1928"/>
            <w:vAlign w:val="top"/>
            <w:shd w:fill="EAF2F8"/>
          </w:tcPr>
          <w:p>
            <w:pPr>
              <w:spacing w:after="40"/>
            </w:pPr>
            <w:r/>
            <w:r>
              <w:rPr>
                <w:rFonts w:ascii="Arial" w:hAnsi="Arial"/>
                <w:b w:val="0"/>
                <w:sz w:val="18"/>
              </w:rPr>
              <w:t>Quiz: Sortieraufgabe / Karten</w:t>
            </w:r>
          </w:p>
        </w:tc>
      </w:tr>
      <w:tr>
        <w:tc>
          <w:tcPr>
            <w:tcW w:type="dxa" w:w="1701"/>
            <w:vAlign w:val="top"/>
            <w:shd w:fill="EAF2F8"/>
          </w:tcPr>
          <w:p>
            <w:pPr>
              <w:spacing w:after="40"/>
            </w:pPr>
            <w:r/>
            <w:r>
              <w:rPr>
                <w:rFonts w:ascii="Arial" w:hAnsi="Arial"/>
                <w:b/>
                <w:sz w:val="18"/>
              </w:rPr>
              <w:t>2.7 Lernzielkontrolle B</w:t>
            </w:r>
          </w:p>
        </w:tc>
        <w:tc>
          <w:tcPr>
            <w:tcW w:type="dxa" w:w="5783"/>
            <w:vAlign w:val="top"/>
            <w:shd w:fill="EAF2F8"/>
          </w:tcPr>
          <w:p>
            <w:pPr>
              <w:spacing w:after="40"/>
            </w:pPr>
            <w:r/>
            <w:r>
              <w:rPr>
                <w:rFonts w:ascii="Arial" w:hAnsi="Arial"/>
                <w:b w:val="0"/>
                <w:sz w:val="19"/>
              </w:rPr>
              <w:t>Multiple Choice: Welche Aussage ist korrekt?</w:t>
            </w:r>
          </w:p>
          <w:p>
            <w:pPr>
              <w:spacing w:after="40"/>
            </w:pPr>
            <w:r>
              <w:rPr>
                <w:rFonts w:ascii="Arial" w:hAnsi="Arial"/>
                <w:b w:val="0"/>
                <w:sz w:val="19"/>
              </w:rPr>
              <w:t>A: KI-generierte Bilder müssen nur gekennzeichnet werden, wenn sie fotorealistisch sind.</w:t>
            </w:r>
          </w:p>
          <w:p>
            <w:pPr>
              <w:spacing w:after="40"/>
            </w:pPr>
            <w:r>
              <w:rPr>
                <w:rFonts w:ascii="Arial" w:hAnsi="Arial"/>
                <w:b w:val="0"/>
                <w:sz w:val="19"/>
              </w:rPr>
              <w:t>B: Wenn KI ein Bild generiert, reicht eine interne Notiz.</w:t>
            </w:r>
          </w:p>
          <w:p>
            <w:pPr>
              <w:spacing w:after="40"/>
            </w:pPr>
            <w:r>
              <w:rPr>
                <w:rFonts w:ascii="Arial" w:hAnsi="Arial"/>
                <w:b w:val="0"/>
                <w:sz w:val="19"/>
              </w:rPr>
              <w:t>C: KI-generierte Bilder für externe Publikation sind als solche zu kennzeichnen. [richtig]</w:t>
            </w:r>
          </w:p>
          <w:p>
            <w:pPr>
              <w:spacing w:after="40"/>
            </w:pPr>
            <w:r>
              <w:rPr>
                <w:rFonts w:ascii="Arial" w:hAnsi="Arial"/>
                <w:b w:val="0"/>
                <w:sz w:val="19"/>
              </w:rPr>
              <w:t>D: Eine Kennzeichnung ist nur bei Social Media nötig.</w:t>
            </w:r>
          </w:p>
          <w:p>
            <w:pPr>
              <w:spacing w:after="40"/>
            </w:pPr>
            <w:r>
              <w:rPr>
                <w:rFonts w:ascii="Arial" w:hAnsi="Arial"/>
                <w:b w:val="0"/>
                <w:sz w:val="19"/>
              </w:rPr>
              <w:t>Feedback: Wegen der Manipulationsgefahr gelten bei Bild und Multimedia strengere Transparenzregeln.</w:t>
            </w:r>
          </w:p>
        </w:tc>
        <w:tc>
          <w:tcPr>
            <w:tcW w:type="dxa" w:w="1928"/>
            <w:vAlign w:val="top"/>
            <w:shd w:fill="EAF2F8"/>
          </w:tcPr>
          <w:p>
            <w:pPr>
              <w:spacing w:after="40"/>
            </w:pPr>
            <w:r/>
            <w:r>
              <w:rPr>
                <w:rFonts w:ascii="Arial" w:hAnsi="Arial"/>
                <w:b w:val="0"/>
                <w:sz w:val="18"/>
              </w:rPr>
              <w:t>Quiz: Multiple Choice</w:t>
            </w:r>
          </w:p>
        </w:tc>
      </w:tr>
      <w:tr>
        <w:tc>
          <w:tcPr>
            <w:tcW w:type="dxa" w:w="1701"/>
            <w:vAlign w:val="top"/>
            <w:shd w:fill="EAF2F8"/>
          </w:tcPr>
          <w:p>
            <w:pPr>
              <w:spacing w:after="40"/>
            </w:pPr>
            <w:r/>
            <w:r>
              <w:rPr>
                <w:rFonts w:ascii="Arial" w:hAnsi="Arial"/>
                <w:b/>
                <w:sz w:val="18"/>
              </w:rPr>
              <w:t>2.8 Lernzielkontrolle C</w:t>
            </w:r>
          </w:p>
        </w:tc>
        <w:tc>
          <w:tcPr>
            <w:tcW w:type="dxa" w:w="5783"/>
            <w:vAlign w:val="top"/>
            <w:shd w:fill="EAF2F8"/>
          </w:tcPr>
          <w:p>
            <w:pPr>
              <w:spacing w:after="40"/>
            </w:pPr>
            <w:r/>
            <w:r>
              <w:rPr>
                <w:rFonts w:ascii="Arial" w:hAnsi="Arial"/>
                <w:b w:val="0"/>
                <w:sz w:val="19"/>
              </w:rPr>
              <w:t>Fall: Ein angebliches Video zeigt eine städtische Führungsperson mit einer provokativen Aussage. Herkunft und Echtheit sind unklar. Was ist korrekt?</w:t>
            </w:r>
          </w:p>
          <w:p>
            <w:pPr>
              <w:spacing w:after="40"/>
            </w:pPr>
            <w:r>
              <w:rPr>
                <w:rFonts w:ascii="Arial" w:hAnsi="Arial"/>
                <w:b w:val="0"/>
                <w:sz w:val="19"/>
              </w:rPr>
              <w:t>Richtige Lösung: nicht weiterverbreiten, Quelle und Kontext prüfen, Inhalt sichern, zuständige Kommunikations- und Eskalationsstelle informieren, keine öffentliche Reaktion ohne Abstimmung.</w:t>
            </w:r>
          </w:p>
          <w:p>
            <w:pPr>
              <w:spacing w:after="40"/>
            </w:pPr>
            <w:r>
              <w:rPr>
                <w:rFonts w:ascii="Arial" w:hAnsi="Arial"/>
                <w:b w:val="0"/>
                <w:sz w:val="19"/>
              </w:rPr>
              <w:t>Feedback: Deepfake-Verdacht ist ein Reputations- und Vertrauensrisiko. Geschwindigkeit ist wichtig, aber nicht auf Kosten der Prüfung.</w:t>
            </w:r>
          </w:p>
        </w:tc>
        <w:tc>
          <w:tcPr>
            <w:tcW w:type="dxa" w:w="1928"/>
            <w:vAlign w:val="top"/>
            <w:shd w:fill="EAF2F8"/>
          </w:tcPr>
          <w:p>
            <w:pPr>
              <w:spacing w:after="40"/>
            </w:pPr>
            <w:r/>
            <w:r>
              <w:rPr>
                <w:rFonts w:ascii="Arial" w:hAnsi="Arial"/>
                <w:b w:val="0"/>
                <w:sz w:val="18"/>
              </w:rPr>
              <w:t>Quiz: Fallentscheidung</w:t>
            </w:r>
          </w:p>
        </w:tc>
      </w:tr>
      <w:tr>
        <w:tc>
          <w:tcPr>
            <w:tcW w:type="dxa" w:w="1701"/>
            <w:vAlign w:val="top"/>
          </w:tcPr>
          <w:p>
            <w:pPr>
              <w:spacing w:after="40"/>
            </w:pPr>
            <w:r/>
            <w:r>
              <w:rPr>
                <w:rFonts w:ascii="Arial" w:hAnsi="Arial"/>
                <w:b/>
                <w:sz w:val="18"/>
              </w:rPr>
              <w:t>2.9 Abschluss</w:t>
            </w:r>
          </w:p>
        </w:tc>
        <w:tc>
          <w:tcPr>
            <w:tcW w:type="dxa" w:w="5783"/>
            <w:vAlign w:val="top"/>
          </w:tcPr>
          <w:p>
            <w:pPr>
              <w:spacing w:after="40"/>
            </w:pPr>
            <w:r/>
            <w:r>
              <w:rPr>
                <w:rFonts w:ascii="Arial" w:hAnsi="Arial"/>
                <w:b w:val="0"/>
                <w:sz w:val="19"/>
              </w:rPr>
              <w:t>Take-away: Transparenz ist nicht nur Kennzeichnung. Transparenz heisst, Manipulationsrisiken ernst zu nehmen, Interaktion ehrlich zu gestalten und dort zu deklarieren, wo KI den publizierten Inhalt oder die öffentliche Wahrnehmung wesentlich prägt.</w:t>
            </w:r>
          </w:p>
        </w:tc>
        <w:tc>
          <w:tcPr>
            <w:tcW w:type="dxa" w:w="1928"/>
            <w:vAlign w:val="top"/>
          </w:tcPr>
          <w:p>
            <w:pPr>
              <w:spacing w:after="40"/>
            </w:pPr>
            <w:r/>
            <w:r>
              <w:rPr>
                <w:rFonts w:ascii="Arial" w:hAnsi="Arial"/>
                <w:b w:val="0"/>
                <w:sz w:val="18"/>
              </w:rPr>
              <w:t>Kurzer Abschlussblock</w:t>
            </w:r>
          </w:p>
        </w:tc>
      </w:tr>
    </w:tbl>
    <w:p>
      <w:r>
        <w:br w:type="page"/>
      </w:r>
    </w:p>
    <w:p>
      <w:pPr>
        <w:pStyle w:val="Heading1"/>
        <w:spacing w:before="120" w:after="80"/>
      </w:pPr>
      <w:r>
        <w:rPr>
          <w:rFonts w:ascii="Arial" w:hAnsi="Arial"/>
          <w:b/>
          <w:color w:val="002C5E"/>
          <w:sz w:val="36"/>
        </w:rPr>
        <w:t>Lektion 3: Freigabe und Qualitätssicherung mit Lernkontrolle</w:t>
      </w:r>
    </w:p>
    <w:p>
      <w:pPr>
        <w:spacing w:after="80"/>
      </w:pPr>
      <w:r>
        <w:rPr>
          <w:rFonts w:ascii="Arial" w:hAnsi="Arial"/>
          <w:b w:val="0"/>
          <w:i/>
          <w:sz w:val="21"/>
        </w:rPr>
        <w:t>Ziel der Lektion: Die Teilnehmenden können KI-spezifische Prüfpunkte in den bestehenden Freigabeprozess integrieren.</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002C5E"/>
            <w:vAlign w:val="center"/>
          </w:tcPr>
          <w:p>
            <w:pPr>
              <w:spacing w:after="40"/>
            </w:pPr>
            <w:r/>
            <w:r>
              <w:rPr>
                <w:rFonts w:ascii="Arial" w:hAnsi="Arial"/>
                <w:b/>
                <w:color w:val="FFFFFF"/>
                <w:sz w:val="19"/>
              </w:rPr>
              <w:t>Screen / Sequenz</w:t>
            </w:r>
          </w:p>
        </w:tc>
        <w:tc>
          <w:tcPr>
            <w:tcW w:type="dxa" w:w="3437"/>
            <w:shd w:fill="002C5E"/>
            <w:vAlign w:val="center"/>
          </w:tcPr>
          <w:p>
            <w:pPr>
              <w:spacing w:after="40"/>
            </w:pPr>
            <w:r/>
            <w:r>
              <w:rPr>
                <w:rFonts w:ascii="Arial" w:hAnsi="Arial"/>
                <w:b/>
                <w:color w:val="FFFFFF"/>
                <w:sz w:val="19"/>
              </w:rPr>
              <w:t>Inhalt, Text und Aufgabe</w:t>
            </w:r>
          </w:p>
        </w:tc>
        <w:tc>
          <w:tcPr>
            <w:tcW w:type="dxa" w:w="3437"/>
            <w:shd w:fill="002C5E"/>
            <w:vAlign w:val="center"/>
          </w:tcPr>
          <w:p>
            <w:pPr>
              <w:spacing w:after="40"/>
            </w:pPr>
            <w:r/>
            <w:r>
              <w:rPr>
                <w:rFonts w:ascii="Arial" w:hAnsi="Arial"/>
                <w:b/>
                <w:color w:val="FFFFFF"/>
                <w:sz w:val="19"/>
              </w:rPr>
              <w:t>Block-Typ / Umsetzung</w:t>
            </w:r>
          </w:p>
        </w:tc>
      </w:tr>
      <w:tr>
        <w:tc>
          <w:tcPr>
            <w:tcW w:type="dxa" w:w="1701"/>
            <w:vAlign w:val="top"/>
          </w:tcPr>
          <w:p>
            <w:pPr>
              <w:spacing w:after="40"/>
            </w:pPr>
            <w:r/>
            <w:r>
              <w:rPr>
                <w:rFonts w:ascii="Arial" w:hAnsi="Arial"/>
                <w:b/>
                <w:sz w:val="18"/>
              </w:rPr>
              <w:t>3.1 Einstieg</w:t>
            </w:r>
          </w:p>
        </w:tc>
        <w:tc>
          <w:tcPr>
            <w:tcW w:type="dxa" w:w="5783"/>
            <w:vAlign w:val="top"/>
          </w:tcPr>
          <w:p>
            <w:pPr>
              <w:spacing w:after="40"/>
            </w:pPr>
            <w:r/>
            <w:r>
              <w:rPr>
                <w:rFonts w:ascii="Arial" w:hAnsi="Arial"/>
                <w:b w:val="0"/>
                <w:sz w:val="19"/>
              </w:rPr>
              <w:t>Der bestehende Freigabeprozess für Kommunikationsmittel bleibt bestehen. KI verändert die Erstellung, aber nicht die Verantwortung. Zuständigkeiten, Prüfung und Freigabe gelten auch dann, wenn einzelne Arbeitsschritte KI-unterstützt erfolgen.</w:t>
            </w:r>
          </w:p>
        </w:tc>
        <w:tc>
          <w:tcPr>
            <w:tcW w:type="dxa" w:w="1928"/>
            <w:vAlign w:val="top"/>
          </w:tcPr>
          <w:p>
            <w:pPr>
              <w:spacing w:after="40"/>
            </w:pPr>
            <w:r/>
            <w:r>
              <w:rPr>
                <w:rFonts w:ascii="Arial" w:hAnsi="Arial"/>
                <w:b w:val="0"/>
                <w:sz w:val="18"/>
              </w:rPr>
              <w:t>Textblock</w:t>
            </w:r>
          </w:p>
        </w:tc>
      </w:tr>
      <w:tr>
        <w:tc>
          <w:tcPr>
            <w:tcW w:type="dxa" w:w="1701"/>
            <w:vAlign w:val="top"/>
          </w:tcPr>
          <w:p>
            <w:pPr>
              <w:spacing w:after="40"/>
            </w:pPr>
            <w:r/>
            <w:r>
              <w:rPr>
                <w:rFonts w:ascii="Arial" w:hAnsi="Arial"/>
                <w:b/>
                <w:sz w:val="18"/>
              </w:rPr>
              <w:t>3.2 Prüfpunkte</w:t>
            </w:r>
          </w:p>
        </w:tc>
        <w:tc>
          <w:tcPr>
            <w:tcW w:type="dxa" w:w="5783"/>
            <w:vAlign w:val="top"/>
          </w:tcPr>
          <w:p>
            <w:pPr>
              <w:spacing w:after="40"/>
            </w:pPr>
            <w:r/>
            <w:r>
              <w:rPr>
                <w:rFonts w:ascii="Arial" w:hAnsi="Arial"/>
                <w:b/>
                <w:sz w:val="19"/>
              </w:rPr>
              <w:t>Mit der Freigabe wird implizit bestätigt</w:t>
            </w:r>
          </w:p>
          <w:p>
            <w:pPr>
              <w:spacing w:after="30"/>
              <w:ind w:left="198" w:hanging="142"/>
            </w:pPr>
            <w:r>
              <w:rPr>
                <w:rFonts w:ascii="Arial" w:hAnsi="Arial"/>
                <w:sz w:val="18"/>
              </w:rPr>
              <w:t>• Richtigkeit: Fakten, Quellen, Zahlen, Kontext und mögliche Verzerrungen wurden geprüft.</w:t>
            </w:r>
          </w:p>
          <w:p>
            <w:pPr>
              <w:spacing w:after="30"/>
              <w:ind w:left="198" w:hanging="142"/>
            </w:pPr>
            <w:r>
              <w:rPr>
                <w:rFonts w:ascii="Arial" w:hAnsi="Arial"/>
                <w:sz w:val="18"/>
              </w:rPr>
              <w:t>• Rechte: Urheber-, Nutzungs- und Persönlichkeitsrechte wurden geprüft; keine unzulässige Übernahme von Stil, Bild oder geschützten Inhalten.</w:t>
            </w:r>
          </w:p>
          <w:p>
            <w:pPr>
              <w:spacing w:after="30"/>
              <w:ind w:left="198" w:hanging="142"/>
            </w:pPr>
            <w:r>
              <w:rPr>
                <w:rFonts w:ascii="Arial" w:hAnsi="Arial"/>
                <w:sz w:val="18"/>
              </w:rPr>
              <w:t>• Tonalität: Inhalt entspricht Sprachvorgaben, städtischer Haltung, CD/CI und Bildwelt.</w:t>
            </w:r>
          </w:p>
          <w:p>
            <w:pPr>
              <w:spacing w:after="30"/>
              <w:ind w:left="198" w:hanging="142"/>
            </w:pPr>
            <w:r>
              <w:rPr>
                <w:rFonts w:ascii="Arial" w:hAnsi="Arial"/>
                <w:sz w:val="18"/>
              </w:rPr>
              <w:t>• Transparenz: Kennzeichnung oder Deklaration wurde gemäss Transparenzregelung beurteilt.</w:t>
            </w:r>
          </w:p>
          <w:p>
            <w:pPr>
              <w:spacing w:after="30"/>
              <w:ind w:left="198" w:hanging="142"/>
            </w:pPr>
            <w:r>
              <w:rPr>
                <w:rFonts w:ascii="Arial" w:hAnsi="Arial"/>
                <w:sz w:val="18"/>
              </w:rPr>
              <w:t>• Toolnutzung: ZüriA bzw. freigegebene Tools wurden nach Vorgaben genutzt; externe Tools nur gemäss KI-Richtlinie.</w:t>
            </w:r>
          </w:p>
        </w:tc>
        <w:tc>
          <w:tcPr>
            <w:tcW w:type="dxa" w:w="1928"/>
            <w:vAlign w:val="top"/>
          </w:tcPr>
          <w:p>
            <w:pPr>
              <w:spacing w:after="40"/>
            </w:pPr>
            <w:r/>
            <w:r>
              <w:rPr>
                <w:rFonts w:ascii="Arial" w:hAnsi="Arial"/>
                <w:b w:val="0"/>
                <w:sz w:val="18"/>
              </w:rPr>
              <w:t>Checkliste / Akkordeon</w:t>
            </w:r>
          </w:p>
        </w:tc>
      </w:tr>
      <w:tr>
        <w:tc>
          <w:tcPr>
            <w:tcW w:type="dxa" w:w="1701"/>
            <w:vAlign w:val="top"/>
          </w:tcPr>
          <w:p>
            <w:pPr>
              <w:spacing w:after="40"/>
            </w:pPr>
            <w:r/>
            <w:r>
              <w:rPr>
                <w:rFonts w:ascii="Arial" w:hAnsi="Arial"/>
                <w:b/>
                <w:sz w:val="18"/>
              </w:rPr>
              <w:t>3.3 Qualität statt Glätte</w:t>
            </w:r>
          </w:p>
        </w:tc>
        <w:tc>
          <w:tcPr>
            <w:tcW w:type="dxa" w:w="5783"/>
            <w:vAlign w:val="top"/>
          </w:tcPr>
          <w:p>
            <w:pPr>
              <w:spacing w:after="40"/>
            </w:pPr>
            <w:r/>
            <w:r>
              <w:rPr>
                <w:rFonts w:ascii="Arial" w:hAnsi="Arial"/>
                <w:b w:val="0"/>
                <w:sz w:val="19"/>
              </w:rPr>
              <w:t>KI kann Texte sprachlich glätten und vollständiger wirken lassen. Genau deshalb braucht es fachliche Prüfung. Wichtig sind: Was ist belegt? Was ist nur plausibel formuliert? Welche Perspektiven fehlen? Gibt es Bias, Übertreibungen oder unzulässige Vereinfachungen?</w:t>
            </w:r>
          </w:p>
        </w:tc>
        <w:tc>
          <w:tcPr>
            <w:tcW w:type="dxa" w:w="1928"/>
            <w:vAlign w:val="top"/>
          </w:tcPr>
          <w:p>
            <w:pPr>
              <w:spacing w:after="40"/>
            </w:pPr>
            <w:r/>
            <w:r>
              <w:rPr>
                <w:rFonts w:ascii="Arial" w:hAnsi="Arial"/>
                <w:b w:val="0"/>
                <w:sz w:val="18"/>
              </w:rPr>
              <w:t>Reflexionskarte</w:t>
            </w:r>
          </w:p>
        </w:tc>
      </w:tr>
      <w:tr>
        <w:tc>
          <w:tcPr>
            <w:tcW w:type="dxa" w:w="1701"/>
            <w:vAlign w:val="top"/>
          </w:tcPr>
          <w:p>
            <w:pPr>
              <w:spacing w:after="40"/>
            </w:pPr>
            <w:r/>
            <w:r>
              <w:rPr>
                <w:rFonts w:ascii="Arial" w:hAnsi="Arial"/>
                <w:b/>
                <w:sz w:val="18"/>
              </w:rPr>
              <w:t>3.4 Tool-Regel</w:t>
            </w:r>
          </w:p>
        </w:tc>
        <w:tc>
          <w:tcPr>
            <w:tcW w:type="dxa" w:w="5783"/>
            <w:vAlign w:val="top"/>
          </w:tcPr>
          <w:p>
            <w:pPr>
              <w:spacing w:after="40"/>
            </w:pPr>
            <w:r/>
            <w:r>
              <w:rPr>
                <w:rFonts w:ascii="Arial" w:hAnsi="Arial"/>
                <w:b w:val="0"/>
                <w:sz w:val="19"/>
              </w:rPr>
              <w:t>ZüriA ist das bevorzugte Tool. Die Eingabe von Daten richtet sich nach den Vorgaben der jeweiligen Dienstabteilung. Externe KI-Werkzeuge dürfen nur unter Berücksichtigung der städtischen KI-Richtlinie genutzt werden. Bei Unsicherheit: keine Eingabe von vertraulichen oder personenbezogenen Daten und Abklärung über definierte Supportstellen.</w:t>
            </w:r>
          </w:p>
        </w:tc>
        <w:tc>
          <w:tcPr>
            <w:tcW w:type="dxa" w:w="1928"/>
            <w:vAlign w:val="top"/>
          </w:tcPr>
          <w:p>
            <w:pPr>
              <w:spacing w:after="40"/>
            </w:pPr>
            <w:r/>
            <w:r>
              <w:rPr>
                <w:rFonts w:ascii="Arial" w:hAnsi="Arial"/>
                <w:b w:val="0"/>
                <w:sz w:val="18"/>
              </w:rPr>
              <w:t>Hinweisbox / Dos and Don’ts</w:t>
            </w:r>
          </w:p>
        </w:tc>
      </w:tr>
      <w:tr>
        <w:tc>
          <w:tcPr>
            <w:tcW w:type="dxa" w:w="1701"/>
            <w:vAlign w:val="top"/>
            <w:shd w:fill="EAF2F8"/>
          </w:tcPr>
          <w:p>
            <w:pPr>
              <w:spacing w:after="40"/>
            </w:pPr>
            <w:r/>
            <w:r>
              <w:rPr>
                <w:rFonts w:ascii="Arial" w:hAnsi="Arial"/>
                <w:b/>
                <w:sz w:val="18"/>
              </w:rPr>
              <w:t>3.5 Lernzielkontrolle A</w:t>
            </w:r>
          </w:p>
        </w:tc>
        <w:tc>
          <w:tcPr>
            <w:tcW w:type="dxa" w:w="5783"/>
            <w:vAlign w:val="top"/>
            <w:shd w:fill="EAF2F8"/>
          </w:tcPr>
          <w:p>
            <w:pPr>
              <w:spacing w:after="40"/>
            </w:pPr>
            <w:r/>
            <w:r>
              <w:rPr>
                <w:rFonts w:ascii="Arial" w:hAnsi="Arial"/>
                <w:b w:val="0"/>
                <w:sz w:val="19"/>
              </w:rPr>
              <w:t>Checklistenfrage: Welche Punkte müssen vor der Freigabe eines KI-unterstützten Kommunikationsmittels geprüft sein?</w:t>
            </w:r>
          </w:p>
          <w:p>
            <w:pPr>
              <w:spacing w:after="40"/>
            </w:pPr>
            <w:r>
              <w:rPr>
                <w:rFonts w:ascii="Arial" w:hAnsi="Arial"/>
                <w:b w:val="0"/>
                <w:sz w:val="19"/>
              </w:rPr>
              <w:t>Richtige Antworten: Fakten/Quellen, Bias und Kontext; Rechte Dritter; Tonalität und CD/CI; Transparenz/Kennzeichnung; zulässige Tool- und Datennutzung; bestehender Freigabeweg.</w:t>
            </w:r>
          </w:p>
          <w:p>
            <w:pPr>
              <w:spacing w:after="40"/>
            </w:pPr>
            <w:r>
              <w:rPr>
                <w:rFonts w:ascii="Arial" w:hAnsi="Arial"/>
                <w:b w:val="0"/>
                <w:sz w:val="19"/>
              </w:rPr>
              <w:t>Falsche Ablenker: «Tool hat plausibel geantwortet», «Text ist sprachlich schön», «KI nennt keine Unsicherheit».</w:t>
            </w:r>
          </w:p>
        </w:tc>
        <w:tc>
          <w:tcPr>
            <w:tcW w:type="dxa" w:w="1928"/>
            <w:vAlign w:val="top"/>
            <w:shd w:fill="EAF2F8"/>
          </w:tcPr>
          <w:p>
            <w:pPr>
              <w:spacing w:after="40"/>
            </w:pPr>
            <w:r/>
            <w:r>
              <w:rPr>
                <w:rFonts w:ascii="Arial" w:hAnsi="Arial"/>
                <w:b w:val="0"/>
                <w:sz w:val="18"/>
              </w:rPr>
              <w:t>Quiz: Mehrfachauswahl</w:t>
            </w:r>
          </w:p>
        </w:tc>
      </w:tr>
      <w:tr>
        <w:tc>
          <w:tcPr>
            <w:tcW w:type="dxa" w:w="1701"/>
            <w:vAlign w:val="top"/>
            <w:shd w:fill="EAF2F8"/>
          </w:tcPr>
          <w:p>
            <w:pPr>
              <w:spacing w:after="40"/>
            </w:pPr>
            <w:r/>
            <w:r>
              <w:rPr>
                <w:rFonts w:ascii="Arial" w:hAnsi="Arial"/>
                <w:b/>
                <w:sz w:val="18"/>
              </w:rPr>
              <w:t>3.6 Lernzielkontrolle B</w:t>
            </w:r>
          </w:p>
        </w:tc>
        <w:tc>
          <w:tcPr>
            <w:tcW w:type="dxa" w:w="5783"/>
            <w:vAlign w:val="top"/>
            <w:shd w:fill="EAF2F8"/>
          </w:tcPr>
          <w:p>
            <w:pPr>
              <w:spacing w:after="40"/>
            </w:pPr>
            <w:r/>
            <w:r>
              <w:rPr>
                <w:rFonts w:ascii="Arial" w:hAnsi="Arial"/>
                <w:b w:val="0"/>
                <w:sz w:val="19"/>
              </w:rPr>
              <w:t>Fall: Ein KI-Tool erstellt einen Social-Media-Post mit einer Grafik. Die Grafik zeigt ein bekanntes Zürcher Gebäude in einem zugespitzten Szenario, die Bildquelle ist unklar und eine Zahl im Post ist nicht belegt. Was passiert in der Freigabe?</w:t>
            </w:r>
          </w:p>
          <w:p>
            <w:pPr>
              <w:spacing w:after="40"/>
            </w:pPr>
            <w:r>
              <w:rPr>
                <w:rFonts w:ascii="Arial" w:hAnsi="Arial"/>
                <w:b w:val="0"/>
                <w:sz w:val="19"/>
              </w:rPr>
              <w:t>Richtige Lösung: Nicht freigeben. Faktenzahl prüfen oder entfernen, Bild-/Rechterisiko und irreführenden Kontext klären, alternative CD/CI-konforme Illustration oder reale geprüfte Quelle nutzen, Transparenz prüfen.</w:t>
            </w:r>
          </w:p>
          <w:p>
            <w:pPr>
              <w:spacing w:after="40"/>
            </w:pPr>
            <w:r>
              <w:rPr>
                <w:rFonts w:ascii="Arial" w:hAnsi="Arial"/>
                <w:b w:val="0"/>
                <w:sz w:val="19"/>
              </w:rPr>
              <w:t>Feedback: Mehrere kleine Unsicherheiten ergeben zusammen ein klares Qualitäts- und Reputationsrisiko.</w:t>
            </w:r>
          </w:p>
        </w:tc>
        <w:tc>
          <w:tcPr>
            <w:tcW w:type="dxa" w:w="1928"/>
            <w:vAlign w:val="top"/>
            <w:shd w:fill="EAF2F8"/>
          </w:tcPr>
          <w:p>
            <w:pPr>
              <w:spacing w:after="40"/>
            </w:pPr>
            <w:r/>
            <w:r>
              <w:rPr>
                <w:rFonts w:ascii="Arial" w:hAnsi="Arial"/>
                <w:b w:val="0"/>
                <w:sz w:val="18"/>
              </w:rPr>
              <w:t>Quiz: Szenario</w:t>
            </w:r>
          </w:p>
        </w:tc>
      </w:tr>
      <w:tr>
        <w:tc>
          <w:tcPr>
            <w:tcW w:type="dxa" w:w="1701"/>
            <w:vAlign w:val="top"/>
            <w:shd w:fill="EAF2F8"/>
          </w:tcPr>
          <w:p>
            <w:pPr>
              <w:spacing w:after="40"/>
            </w:pPr>
            <w:r/>
            <w:r>
              <w:rPr>
                <w:rFonts w:ascii="Arial" w:hAnsi="Arial"/>
                <w:b/>
                <w:sz w:val="18"/>
              </w:rPr>
              <w:t>3.7 Lernzielkontrolle C</w:t>
            </w:r>
          </w:p>
        </w:tc>
        <w:tc>
          <w:tcPr>
            <w:tcW w:type="dxa" w:w="5783"/>
            <w:vAlign w:val="top"/>
            <w:shd w:fill="EAF2F8"/>
          </w:tcPr>
          <w:p>
            <w:pPr>
              <w:spacing w:after="40"/>
            </w:pPr>
            <w:r/>
            <w:r>
              <w:rPr>
                <w:rFonts w:ascii="Arial" w:hAnsi="Arial"/>
                <w:b w:val="0"/>
                <w:sz w:val="19"/>
              </w:rPr>
              <w:t>Reihenfolge: Bringen Sie die Qualitätssicherung in eine sinnvolle Reihenfolge.</w:t>
            </w:r>
          </w:p>
          <w:p>
            <w:pPr>
              <w:spacing w:after="40"/>
            </w:pPr>
            <w:r>
              <w:rPr>
                <w:rFonts w:ascii="Arial" w:hAnsi="Arial"/>
                <w:b w:val="0"/>
                <w:sz w:val="19"/>
              </w:rPr>
              <w:t>1. Zweck, Publikum und Freigabeweg klären.</w:t>
            </w:r>
          </w:p>
          <w:p>
            <w:pPr>
              <w:spacing w:after="40"/>
            </w:pPr>
            <w:r>
              <w:rPr>
                <w:rFonts w:ascii="Arial" w:hAnsi="Arial"/>
                <w:b w:val="0"/>
                <w:sz w:val="19"/>
              </w:rPr>
              <w:t>2. Zulässiges Tool und zulässige Daten prüfen.</w:t>
            </w:r>
          </w:p>
          <w:p>
            <w:pPr>
              <w:spacing w:after="40"/>
            </w:pPr>
            <w:r>
              <w:rPr>
                <w:rFonts w:ascii="Arial" w:hAnsi="Arial"/>
                <w:b w:val="0"/>
                <w:sz w:val="19"/>
              </w:rPr>
              <w:t>3. KI-Output fachlich prüfen: Fakten, Quellen, Bias, Kontext.</w:t>
            </w:r>
          </w:p>
          <w:p>
            <w:pPr>
              <w:spacing w:after="40"/>
            </w:pPr>
            <w:r>
              <w:rPr>
                <w:rFonts w:ascii="Arial" w:hAnsi="Arial"/>
                <w:b w:val="0"/>
                <w:sz w:val="19"/>
              </w:rPr>
              <w:t>4. Rechte, Tonalität, CD/CI und Transparenz prüfen.</w:t>
            </w:r>
          </w:p>
          <w:p>
            <w:pPr>
              <w:spacing w:after="40"/>
            </w:pPr>
            <w:r>
              <w:rPr>
                <w:rFonts w:ascii="Arial" w:hAnsi="Arial"/>
                <w:b w:val="0"/>
                <w:sz w:val="19"/>
              </w:rPr>
              <w:t>5. Bestehenden Freigabeprozess abschliessen und publizieren.</w:t>
            </w:r>
          </w:p>
          <w:p>
            <w:pPr>
              <w:spacing w:after="40"/>
            </w:pPr>
            <w:r>
              <w:rPr>
                <w:rFonts w:ascii="Arial" w:hAnsi="Arial"/>
                <w:b w:val="0"/>
                <w:sz w:val="19"/>
              </w:rPr>
              <w:t>Feedback: KI-spezifische Prüfung ergänzt den bestehenden Prozess, sie ersetzt ihn nicht.</w:t>
            </w:r>
          </w:p>
        </w:tc>
        <w:tc>
          <w:tcPr>
            <w:tcW w:type="dxa" w:w="1928"/>
            <w:vAlign w:val="top"/>
            <w:shd w:fill="EAF2F8"/>
          </w:tcPr>
          <w:p>
            <w:pPr>
              <w:spacing w:after="40"/>
            </w:pPr>
            <w:r/>
            <w:r>
              <w:rPr>
                <w:rFonts w:ascii="Arial" w:hAnsi="Arial"/>
                <w:b w:val="0"/>
                <w:sz w:val="18"/>
              </w:rPr>
              <w:t>Quiz: Reihenfolge</w:t>
            </w:r>
          </w:p>
        </w:tc>
      </w:tr>
      <w:tr>
        <w:tc>
          <w:tcPr>
            <w:tcW w:type="dxa" w:w="1701"/>
            <w:vAlign w:val="top"/>
          </w:tcPr>
          <w:p>
            <w:pPr>
              <w:spacing w:after="40"/>
            </w:pPr>
            <w:r/>
            <w:r>
              <w:rPr>
                <w:rFonts w:ascii="Arial" w:hAnsi="Arial"/>
                <w:b/>
                <w:sz w:val="18"/>
              </w:rPr>
              <w:t>3.8 Abschluss</w:t>
            </w:r>
          </w:p>
        </w:tc>
        <w:tc>
          <w:tcPr>
            <w:tcW w:type="dxa" w:w="5783"/>
            <w:vAlign w:val="top"/>
          </w:tcPr>
          <w:p>
            <w:pPr>
              <w:spacing w:after="40"/>
            </w:pPr>
            <w:r/>
            <w:r>
              <w:rPr>
                <w:rFonts w:ascii="Arial" w:hAnsi="Arial"/>
                <w:b w:val="0"/>
                <w:sz w:val="19"/>
              </w:rPr>
              <w:t>Take-away: Freigabe und Qualitätssicherung sind der Ort, an dem Effizienzgewinn und Verantwortung zusammenkommen. Der Massstab bleibt nicht der beste Prompt, sondern die publizierbare Qualität.</w:t>
            </w:r>
          </w:p>
        </w:tc>
        <w:tc>
          <w:tcPr>
            <w:tcW w:type="dxa" w:w="1928"/>
            <w:vAlign w:val="top"/>
          </w:tcPr>
          <w:p>
            <w:pPr>
              <w:spacing w:after="40"/>
            </w:pPr>
            <w:r/>
            <w:r>
              <w:rPr>
                <w:rFonts w:ascii="Arial" w:hAnsi="Arial"/>
                <w:b w:val="0"/>
                <w:sz w:val="18"/>
              </w:rPr>
              <w:t>Kurzer Abschlussblock</w:t>
            </w:r>
          </w:p>
        </w:tc>
      </w:tr>
    </w:tbl>
    <w:p>
      <w:r>
        <w:br w:type="page"/>
      </w:r>
    </w:p>
    <w:p>
      <w:pPr>
        <w:pStyle w:val="Heading1"/>
        <w:spacing w:before="120" w:after="80"/>
      </w:pPr>
      <w:r>
        <w:rPr>
          <w:rFonts w:ascii="Arial" w:hAnsi="Arial"/>
          <w:b/>
          <w:color w:val="002C5E"/>
          <w:sz w:val="36"/>
        </w:rPr>
        <w:t>Lektion 4: Usecases entlang der Komm-Journey</w:t>
      </w:r>
    </w:p>
    <w:p>
      <w:pPr>
        <w:spacing w:after="80"/>
      </w:pPr>
      <w:r>
        <w:rPr>
          <w:rFonts w:ascii="Arial" w:hAnsi="Arial"/>
          <w:b w:val="0"/>
          <w:i/>
          <w:sz w:val="21"/>
        </w:rPr>
        <w:t>Ziel der Lektion: Die Teilnehmenden erkennen stabile Einsatzfelder von KI entlang der Kommunikationsarbeit. Die folgenden Rahmen-Usecases sind bewusst toolunabhängig formuliert. Die Kommunikation definiert final, welche Usecases im WBT abgebildet werden.</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78"/>
            <w:shd w:fill="002C5E"/>
          </w:tcPr>
          <w:p>
            <w:pPr>
              <w:spacing w:after="40"/>
            </w:pPr>
            <w:r/>
            <w:r>
              <w:rPr>
                <w:rFonts w:ascii="Arial" w:hAnsi="Arial"/>
                <w:b/>
                <w:color w:val="FFFFFF"/>
                <w:sz w:val="17"/>
              </w:rPr>
              <w:t>Journey-Schritt</w:t>
            </w:r>
          </w:p>
        </w:tc>
        <w:tc>
          <w:tcPr>
            <w:tcW w:type="dxa" w:w="2578"/>
            <w:shd w:fill="002C5E"/>
          </w:tcPr>
          <w:p>
            <w:pPr>
              <w:spacing w:after="40"/>
            </w:pPr>
            <w:r/>
            <w:r>
              <w:rPr>
                <w:rFonts w:ascii="Arial" w:hAnsi="Arial"/>
                <w:b/>
                <w:color w:val="FFFFFF"/>
                <w:sz w:val="17"/>
              </w:rPr>
              <w:t>Rahmen-Usecase (Platzhalter)</w:t>
            </w:r>
          </w:p>
        </w:tc>
        <w:tc>
          <w:tcPr>
            <w:tcW w:type="dxa" w:w="2578"/>
            <w:shd w:fill="002C5E"/>
          </w:tcPr>
          <w:p>
            <w:pPr>
              <w:spacing w:after="40"/>
            </w:pPr>
            <w:r/>
            <w:r>
              <w:rPr>
                <w:rFonts w:ascii="Arial" w:hAnsi="Arial"/>
                <w:b/>
                <w:color w:val="FFFFFF"/>
                <w:sz w:val="17"/>
              </w:rPr>
              <w:t>KI-Beitrag</w:t>
            </w:r>
          </w:p>
        </w:tc>
        <w:tc>
          <w:tcPr>
            <w:tcW w:type="dxa" w:w="2578"/>
            <w:shd w:fill="002C5E"/>
          </w:tcPr>
          <w:p>
            <w:pPr>
              <w:spacing w:after="40"/>
            </w:pPr>
            <w:r/>
            <w:r>
              <w:rPr>
                <w:rFonts w:ascii="Arial" w:hAnsi="Arial"/>
                <w:b/>
                <w:color w:val="FFFFFF"/>
                <w:sz w:val="17"/>
              </w:rPr>
              <w:t>Menschliche Aufgabe / QS</w:t>
            </w:r>
          </w:p>
        </w:tc>
      </w:tr>
      <w:tr>
        <w:tc>
          <w:tcPr>
            <w:tcW w:type="dxa" w:w="1814"/>
            <w:vAlign w:val="top"/>
          </w:tcPr>
          <w:p>
            <w:pPr>
              <w:spacing w:after="40"/>
            </w:pPr>
            <w:r/>
            <w:r>
              <w:rPr>
                <w:rFonts w:ascii="Arial" w:hAnsi="Arial"/>
                <w:b/>
                <w:sz w:val="16"/>
              </w:rPr>
              <w:t>1. Auftrag &amp; Rahmen klären</w:t>
            </w:r>
          </w:p>
        </w:tc>
        <w:tc>
          <w:tcPr>
            <w:tcW w:type="dxa" w:w="2268"/>
            <w:vAlign w:val="top"/>
          </w:tcPr>
          <w:p>
            <w:pPr>
              <w:spacing w:after="40"/>
            </w:pPr>
            <w:r/>
            <w:r>
              <w:rPr>
                <w:rFonts w:ascii="Arial" w:hAnsi="Arial"/>
                <w:b w:val="0"/>
                <w:sz w:val="16"/>
              </w:rPr>
              <w:t>UC-01: Briefing strukturieren und offene Fragen sichtbar machen</w:t>
            </w:r>
          </w:p>
        </w:tc>
        <w:tc>
          <w:tcPr>
            <w:tcW w:type="dxa" w:w="2494"/>
            <w:vAlign w:val="top"/>
          </w:tcPr>
          <w:p>
            <w:pPr>
              <w:spacing w:after="40"/>
            </w:pPr>
            <w:r/>
            <w:r>
              <w:rPr>
                <w:rFonts w:ascii="Arial" w:hAnsi="Arial"/>
                <w:b w:val="0"/>
                <w:sz w:val="16"/>
              </w:rPr>
              <w:t>Aus Auftrag, Zielgruppe, Kanal, Timing und Rahmenbedingungen eine kompakte Briefing-Struktur ableiten; Lücken und Risiken benennen.</w:t>
            </w:r>
          </w:p>
        </w:tc>
        <w:tc>
          <w:tcPr>
            <w:tcW w:type="dxa" w:w="2494"/>
            <w:vAlign w:val="top"/>
          </w:tcPr>
          <w:p>
            <w:pPr>
              <w:spacing w:after="40"/>
            </w:pPr>
            <w:r/>
            <w:r>
              <w:rPr>
                <w:rFonts w:ascii="Arial" w:hAnsi="Arial"/>
                <w:b w:val="0"/>
                <w:sz w:val="16"/>
              </w:rPr>
              <w:t>Kommunikation entscheidet Ziel, Botschaft, Zuständigkeit, Freigabeweg und ob der Auftrag überhaupt KI-geeignet ist.</w:t>
            </w:r>
          </w:p>
        </w:tc>
      </w:tr>
      <w:tr>
        <w:tc>
          <w:tcPr>
            <w:tcW w:type="dxa" w:w="1814"/>
            <w:vAlign w:val="top"/>
          </w:tcPr>
          <w:p>
            <w:pPr>
              <w:spacing w:after="40"/>
            </w:pPr>
            <w:r/>
            <w:r>
              <w:rPr>
                <w:rFonts w:ascii="Arial" w:hAnsi="Arial"/>
                <w:b/>
                <w:sz w:val="16"/>
              </w:rPr>
              <w:t>2. Recherche</w:t>
            </w:r>
          </w:p>
        </w:tc>
        <w:tc>
          <w:tcPr>
            <w:tcW w:type="dxa" w:w="2268"/>
            <w:vAlign w:val="top"/>
          </w:tcPr>
          <w:p>
            <w:pPr>
              <w:spacing w:after="40"/>
            </w:pPr>
            <w:r/>
            <w:r>
              <w:rPr>
                <w:rFonts w:ascii="Arial" w:hAnsi="Arial"/>
                <w:b w:val="0"/>
                <w:sz w:val="16"/>
              </w:rPr>
              <w:t>UC-02: Themen-, Quellen- und Argumentelandkarte erstellen</w:t>
            </w:r>
          </w:p>
        </w:tc>
        <w:tc>
          <w:tcPr>
            <w:tcW w:type="dxa" w:w="2494"/>
            <w:vAlign w:val="top"/>
          </w:tcPr>
          <w:p>
            <w:pPr>
              <w:spacing w:after="40"/>
            </w:pPr>
            <w:r/>
            <w:r>
              <w:rPr>
                <w:rFonts w:ascii="Arial" w:hAnsi="Arial"/>
                <w:b w:val="0"/>
                <w:sz w:val="16"/>
              </w:rPr>
              <w:t>Öffentliche Quellen zusammenfassen, Themencluster bilden, Gegenargumente und offene Punkte identifizieren.</w:t>
            </w:r>
          </w:p>
        </w:tc>
        <w:tc>
          <w:tcPr>
            <w:tcW w:type="dxa" w:w="2494"/>
            <w:vAlign w:val="top"/>
          </w:tcPr>
          <w:p>
            <w:pPr>
              <w:spacing w:after="40"/>
            </w:pPr>
            <w:r/>
            <w:r>
              <w:rPr>
                <w:rFonts w:ascii="Arial" w:hAnsi="Arial"/>
                <w:b w:val="0"/>
                <w:sz w:val="16"/>
              </w:rPr>
              <w:t>Quellenqualität prüfen, Fakten verifizieren, interne/vertrauliche Informationen schützen, rechtliche und politische Sensibilitäten einschätzen.</w:t>
            </w:r>
          </w:p>
        </w:tc>
      </w:tr>
      <w:tr>
        <w:tc>
          <w:tcPr>
            <w:tcW w:type="dxa" w:w="1814"/>
            <w:vAlign w:val="top"/>
          </w:tcPr>
          <w:p>
            <w:pPr>
              <w:spacing w:after="40"/>
            </w:pPr>
            <w:r/>
            <w:r>
              <w:rPr>
                <w:rFonts w:ascii="Arial" w:hAnsi="Arial"/>
                <w:b/>
                <w:sz w:val="16"/>
              </w:rPr>
              <w:t>3. Konzeption &amp; Ideenfindung</w:t>
            </w:r>
          </w:p>
        </w:tc>
        <w:tc>
          <w:tcPr>
            <w:tcW w:type="dxa" w:w="2268"/>
            <w:vAlign w:val="top"/>
          </w:tcPr>
          <w:p>
            <w:pPr>
              <w:spacing w:after="40"/>
            </w:pPr>
            <w:r/>
            <w:r>
              <w:rPr>
                <w:rFonts w:ascii="Arial" w:hAnsi="Arial"/>
                <w:b w:val="0"/>
                <w:sz w:val="16"/>
              </w:rPr>
              <w:t>UC-03: Kommunikationsansätze und Botschaftsvarianten entwickeln</w:t>
            </w:r>
          </w:p>
        </w:tc>
        <w:tc>
          <w:tcPr>
            <w:tcW w:type="dxa" w:w="2494"/>
            <w:vAlign w:val="top"/>
          </w:tcPr>
          <w:p>
            <w:pPr>
              <w:spacing w:after="40"/>
            </w:pPr>
            <w:r/>
            <w:r>
              <w:rPr>
                <w:rFonts w:ascii="Arial" w:hAnsi="Arial"/>
                <w:b w:val="0"/>
                <w:sz w:val="16"/>
              </w:rPr>
              <w:t>Mehrere Ansätze für Zielgruppen, Kernbotschaften, Tonalität, Kanäle und Dramaturgie vorschlagen.</w:t>
            </w:r>
          </w:p>
        </w:tc>
        <w:tc>
          <w:tcPr>
            <w:tcW w:type="dxa" w:w="2494"/>
            <w:vAlign w:val="top"/>
          </w:tcPr>
          <w:p>
            <w:pPr>
              <w:spacing w:after="40"/>
            </w:pPr>
            <w:r/>
            <w:r>
              <w:rPr>
                <w:rFonts w:ascii="Arial" w:hAnsi="Arial"/>
                <w:b w:val="0"/>
                <w:sz w:val="16"/>
              </w:rPr>
              <w:t>Strategische Passung, städtische Haltung, Verhältnismässigkeit und Umsetzbarkeit beurteilen; keine ungeprüfte Übernahme.</w:t>
            </w:r>
          </w:p>
        </w:tc>
      </w:tr>
      <w:tr>
        <w:tc>
          <w:tcPr>
            <w:tcW w:type="dxa" w:w="1814"/>
            <w:vAlign w:val="top"/>
          </w:tcPr>
          <w:p>
            <w:pPr>
              <w:spacing w:after="40"/>
            </w:pPr>
            <w:r/>
            <w:r>
              <w:rPr>
                <w:rFonts w:ascii="Arial" w:hAnsi="Arial"/>
                <w:b/>
                <w:sz w:val="16"/>
              </w:rPr>
              <w:t>4. Redaktion / Text</w:t>
            </w:r>
          </w:p>
        </w:tc>
        <w:tc>
          <w:tcPr>
            <w:tcW w:type="dxa" w:w="2268"/>
            <w:vAlign w:val="top"/>
          </w:tcPr>
          <w:p>
            <w:pPr>
              <w:spacing w:after="40"/>
            </w:pPr>
            <w:r/>
            <w:r>
              <w:rPr>
                <w:rFonts w:ascii="Arial" w:hAnsi="Arial"/>
                <w:b w:val="0"/>
                <w:sz w:val="16"/>
              </w:rPr>
              <w:t>UC-04: Textentwürfe, Vereinfachungen und Varianten erstellen</w:t>
            </w:r>
          </w:p>
        </w:tc>
        <w:tc>
          <w:tcPr>
            <w:tcW w:type="dxa" w:w="2494"/>
            <w:vAlign w:val="top"/>
          </w:tcPr>
          <w:p>
            <w:pPr>
              <w:spacing w:after="40"/>
            </w:pPr>
            <w:r/>
            <w:r>
              <w:rPr>
                <w:rFonts w:ascii="Arial" w:hAnsi="Arial"/>
                <w:b w:val="0"/>
                <w:sz w:val="16"/>
              </w:rPr>
              <w:t>Rohtexte entwerfen, kürzen, strukturieren, barriereärmer formulieren, Varianten für Web, Medienmitteilung oder Social Media erstellen.</w:t>
            </w:r>
          </w:p>
        </w:tc>
        <w:tc>
          <w:tcPr>
            <w:tcW w:type="dxa" w:w="2494"/>
            <w:vAlign w:val="top"/>
          </w:tcPr>
          <w:p>
            <w:pPr>
              <w:spacing w:after="40"/>
            </w:pPr>
            <w:r/>
            <w:r>
              <w:rPr>
                <w:rFonts w:ascii="Arial" w:hAnsi="Arial"/>
                <w:b w:val="0"/>
                <w:sz w:val="16"/>
              </w:rPr>
              <w:t>Fakten, Tonalität, Sprachvorgaben, Verständlichkeit, Rechte und politische Sensibilität prüfen; finale Absenderschaft bleibt menschlich.</w:t>
            </w:r>
          </w:p>
        </w:tc>
      </w:tr>
      <w:tr>
        <w:tc>
          <w:tcPr>
            <w:tcW w:type="dxa" w:w="1814"/>
            <w:vAlign w:val="top"/>
          </w:tcPr>
          <w:p>
            <w:pPr>
              <w:spacing w:after="40"/>
            </w:pPr>
            <w:r/>
            <w:r>
              <w:rPr>
                <w:rFonts w:ascii="Arial" w:hAnsi="Arial"/>
                <w:b/>
                <w:sz w:val="16"/>
              </w:rPr>
              <w:t>5. Audiovisueller Content</w:t>
            </w:r>
          </w:p>
        </w:tc>
        <w:tc>
          <w:tcPr>
            <w:tcW w:type="dxa" w:w="2268"/>
            <w:vAlign w:val="top"/>
          </w:tcPr>
          <w:p>
            <w:pPr>
              <w:spacing w:after="40"/>
            </w:pPr>
            <w:r/>
            <w:r>
              <w:rPr>
                <w:rFonts w:ascii="Arial" w:hAnsi="Arial"/>
                <w:b w:val="0"/>
                <w:sz w:val="16"/>
              </w:rPr>
              <w:t>UC-05: Storyboards, Visual-Ideen und Alternativtexte vorbereiten</w:t>
            </w:r>
          </w:p>
        </w:tc>
        <w:tc>
          <w:tcPr>
            <w:tcW w:type="dxa" w:w="2494"/>
            <w:vAlign w:val="top"/>
          </w:tcPr>
          <w:p>
            <w:pPr>
              <w:spacing w:after="40"/>
            </w:pPr>
            <w:r/>
            <w:r>
              <w:rPr>
                <w:rFonts w:ascii="Arial" w:hAnsi="Arial"/>
                <w:b w:val="0"/>
                <w:sz w:val="16"/>
              </w:rPr>
              <w:t>Bildideen, Storyboard-Strukturen, Szenenlisten, Alt-Texte und Musik-/Stimmungsbeschriebe vorbereiten.</w:t>
            </w:r>
          </w:p>
        </w:tc>
        <w:tc>
          <w:tcPr>
            <w:tcW w:type="dxa" w:w="2494"/>
            <w:vAlign w:val="top"/>
          </w:tcPr>
          <w:p>
            <w:pPr>
              <w:spacing w:after="40"/>
            </w:pPr>
            <w:r/>
            <w:r>
              <w:rPr>
                <w:rFonts w:ascii="Arial" w:hAnsi="Arial"/>
                <w:b w:val="0"/>
                <w:sz w:val="16"/>
              </w:rPr>
              <w:t>Keine Realbilder ersetzen; KI-generierte Illustrationen kennzeichnen; keine Deepfakes und keine irreführenden Personen- oder Gebäudekontexte.</w:t>
            </w:r>
          </w:p>
        </w:tc>
      </w:tr>
      <w:tr>
        <w:tc>
          <w:tcPr>
            <w:tcW w:type="dxa" w:w="1814"/>
            <w:vAlign w:val="top"/>
          </w:tcPr>
          <w:p>
            <w:pPr>
              <w:spacing w:after="40"/>
            </w:pPr>
            <w:r/>
            <w:r>
              <w:rPr>
                <w:rFonts w:ascii="Arial" w:hAnsi="Arial"/>
                <w:b/>
                <w:sz w:val="16"/>
              </w:rPr>
              <w:t>6. Publikation &amp; Weboptimierung</w:t>
            </w:r>
          </w:p>
        </w:tc>
        <w:tc>
          <w:tcPr>
            <w:tcW w:type="dxa" w:w="2268"/>
            <w:vAlign w:val="top"/>
          </w:tcPr>
          <w:p>
            <w:pPr>
              <w:spacing w:after="40"/>
            </w:pPr>
            <w:r/>
            <w:r>
              <w:rPr>
                <w:rFonts w:ascii="Arial" w:hAnsi="Arial"/>
                <w:b w:val="0"/>
                <w:sz w:val="16"/>
              </w:rPr>
              <w:t>UC-06: Webtexte, Titel, Teaser und Meta-Angaben optimieren</w:t>
            </w:r>
          </w:p>
        </w:tc>
        <w:tc>
          <w:tcPr>
            <w:tcW w:type="dxa" w:w="2494"/>
            <w:vAlign w:val="top"/>
          </w:tcPr>
          <w:p>
            <w:pPr>
              <w:spacing w:after="40"/>
            </w:pPr>
            <w:r/>
            <w:r>
              <w:rPr>
                <w:rFonts w:ascii="Arial" w:hAnsi="Arial"/>
                <w:b w:val="0"/>
                <w:sz w:val="16"/>
              </w:rPr>
              <w:t>Titelvarianten, SEO-Beschriebe, Zwischenüberschriften, Linktexte und barrierearme Strukturvorschläge erstellen.</w:t>
            </w:r>
          </w:p>
        </w:tc>
        <w:tc>
          <w:tcPr>
            <w:tcW w:type="dxa" w:w="2494"/>
            <w:vAlign w:val="top"/>
          </w:tcPr>
          <w:p>
            <w:pPr>
              <w:spacing w:after="40"/>
            </w:pPr>
            <w:r/>
            <w:r>
              <w:rPr>
                <w:rFonts w:ascii="Arial" w:hAnsi="Arial"/>
                <w:b w:val="0"/>
                <w:sz w:val="16"/>
              </w:rPr>
              <w:t>Publikationsstandards, CD/CI, Barrierefreiheit, Aktualität und Transparenzregelung prüfen.</w:t>
            </w:r>
          </w:p>
        </w:tc>
      </w:tr>
      <w:tr>
        <w:tc>
          <w:tcPr>
            <w:tcW w:type="dxa" w:w="1814"/>
            <w:vAlign w:val="top"/>
          </w:tcPr>
          <w:p>
            <w:pPr>
              <w:spacing w:after="40"/>
            </w:pPr>
            <w:r/>
            <w:r>
              <w:rPr>
                <w:rFonts w:ascii="Arial" w:hAnsi="Arial"/>
                <w:b/>
                <w:sz w:val="16"/>
              </w:rPr>
              <w:t>7. Interaktion &amp; Moderation</w:t>
            </w:r>
          </w:p>
        </w:tc>
        <w:tc>
          <w:tcPr>
            <w:tcW w:type="dxa" w:w="2268"/>
            <w:vAlign w:val="top"/>
          </w:tcPr>
          <w:p>
            <w:pPr>
              <w:spacing w:after="40"/>
            </w:pPr>
            <w:r/>
            <w:r>
              <w:rPr>
                <w:rFonts w:ascii="Arial" w:hAnsi="Arial"/>
                <w:b w:val="0"/>
                <w:sz w:val="16"/>
              </w:rPr>
              <w:t>UC-07: Antwortentwürfe und Moderationshilfen vorbereiten</w:t>
            </w:r>
          </w:p>
        </w:tc>
        <w:tc>
          <w:tcPr>
            <w:tcW w:type="dxa" w:w="2494"/>
            <w:vAlign w:val="top"/>
          </w:tcPr>
          <w:p>
            <w:pPr>
              <w:spacing w:after="40"/>
            </w:pPr>
            <w:r/>
            <w:r>
              <w:rPr>
                <w:rFonts w:ascii="Arial" w:hAnsi="Arial"/>
                <w:b w:val="0"/>
                <w:sz w:val="16"/>
              </w:rPr>
              <w:t>Antwortvorschläge für häufige Fragen, Kommentarcluster, Eskalationshinweise und konsistente Moderationsbausteine vorbereiten.</w:t>
            </w:r>
          </w:p>
        </w:tc>
        <w:tc>
          <w:tcPr>
            <w:tcW w:type="dxa" w:w="2494"/>
            <w:vAlign w:val="top"/>
          </w:tcPr>
          <w:p>
            <w:pPr>
              <w:spacing w:after="40"/>
            </w:pPr>
            <w:r/>
            <w:r>
              <w:rPr>
                <w:rFonts w:ascii="Arial" w:hAnsi="Arial"/>
                <w:b w:val="0"/>
                <w:sz w:val="16"/>
              </w:rPr>
              <w:t>Empathie, politische Sensibilität, Rechtslage und Tonalität prüfen; heikle Fälle an zuständige Stelle eskalieren.</w:t>
            </w:r>
          </w:p>
        </w:tc>
      </w:tr>
      <w:tr>
        <w:tc>
          <w:tcPr>
            <w:tcW w:type="dxa" w:w="1814"/>
            <w:vAlign w:val="top"/>
          </w:tcPr>
          <w:p>
            <w:pPr>
              <w:spacing w:after="40"/>
            </w:pPr>
            <w:r/>
            <w:r>
              <w:rPr>
                <w:rFonts w:ascii="Arial" w:hAnsi="Arial"/>
                <w:b/>
                <w:sz w:val="16"/>
              </w:rPr>
              <w:t>8. Monitoring &amp; Wirkungsanalyse</w:t>
            </w:r>
          </w:p>
        </w:tc>
        <w:tc>
          <w:tcPr>
            <w:tcW w:type="dxa" w:w="2268"/>
            <w:vAlign w:val="top"/>
          </w:tcPr>
          <w:p>
            <w:pPr>
              <w:spacing w:after="40"/>
            </w:pPr>
            <w:r/>
            <w:r>
              <w:rPr>
                <w:rFonts w:ascii="Arial" w:hAnsi="Arial"/>
                <w:b w:val="0"/>
                <w:sz w:val="16"/>
              </w:rPr>
              <w:t>UC-08: Rückmeldungen strukturieren und Wirkungshinweise ableiten</w:t>
            </w:r>
          </w:p>
        </w:tc>
        <w:tc>
          <w:tcPr>
            <w:tcW w:type="dxa" w:w="2494"/>
            <w:vAlign w:val="top"/>
          </w:tcPr>
          <w:p>
            <w:pPr>
              <w:spacing w:after="40"/>
            </w:pPr>
            <w:r/>
            <w:r>
              <w:rPr>
                <w:rFonts w:ascii="Arial" w:hAnsi="Arial"/>
                <w:b w:val="0"/>
                <w:sz w:val="16"/>
              </w:rPr>
              <w:t>Feedback, Medienresonanz, Webkennzahlen oder Kommentarverläufe clustern und Muster sichtbar machen.</w:t>
            </w:r>
          </w:p>
        </w:tc>
        <w:tc>
          <w:tcPr>
            <w:tcW w:type="dxa" w:w="2494"/>
            <w:vAlign w:val="top"/>
          </w:tcPr>
          <w:p>
            <w:pPr>
              <w:spacing w:after="40"/>
            </w:pPr>
            <w:r/>
            <w:r>
              <w:rPr>
                <w:rFonts w:ascii="Arial" w:hAnsi="Arial"/>
                <w:b w:val="0"/>
                <w:sz w:val="16"/>
              </w:rPr>
              <w:t>Datenqualität, Aussagekraft und Datenschutz prüfen; Schlussfolgerungen als Entscheidungsgrundlage, nicht als automatische Entscheidung nutzen.</w:t>
            </w:r>
          </w:p>
        </w:tc>
      </w:tr>
    </w:tbl>
    <w:p>
      <w:pPr>
        <w:spacing w:after="80"/>
      </w:pPr>
      <w:r>
        <w:rPr>
          <w:rFonts w:ascii="Arial" w:hAnsi="Arial"/>
          <w:b w:val="0"/>
          <w:i/>
          <w:sz w:val="19"/>
        </w:rPr>
        <w:t>Produktionshinweis: Pro final ausgewähltem Usecase kann in Rise 360 eine kurze «So könnte es aussehen»-Karte ergänzt werden: Ausgangslage, Beispielprompt, KI-Beitrag, menschliche Prüfung, Transparenz-/Freigabepunkt. Die Beispiele sollten so formuliert werden, dass sie nicht an ein einzelnes aktuelles Tool oder Feature gebunden sind.</w:t>
      </w:r>
    </w:p>
    <w:p>
      <w:r>
        <w:br w:type="page"/>
      </w:r>
    </w:p>
    <w:p>
      <w:pPr>
        <w:pStyle w:val="Heading1"/>
        <w:spacing w:before="120" w:after="80"/>
      </w:pPr>
      <w:r>
        <w:rPr>
          <w:rFonts w:ascii="Arial" w:hAnsi="Arial"/>
          <w:b/>
          <w:color w:val="002C5E"/>
          <w:sz w:val="36"/>
        </w:rPr>
        <w:t>Lektion 5: Link-Liste</w:t>
      </w:r>
    </w:p>
    <w:p>
      <w:pPr>
        <w:spacing w:after="80"/>
      </w:pPr>
      <w:r>
        <w:rPr>
          <w:rFonts w:ascii="Arial" w:hAnsi="Arial"/>
          <w:b w:val="0"/>
          <w:i/>
          <w:sz w:val="21"/>
        </w:rPr>
        <w:t>Ziel der Lektion: Die Teilnehmenden finden die relevanten Grundlagen, Werkzeuge und Supportstellen. Links und Zuständigkeiten werden in der finalen Produktion durch die Kommunikation ergänzt.</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78"/>
            <w:shd w:fill="002C5E"/>
          </w:tcPr>
          <w:p>
            <w:pPr>
              <w:spacing w:after="40"/>
            </w:pPr>
            <w:r/>
            <w:r>
              <w:rPr>
                <w:rFonts w:ascii="Arial" w:hAnsi="Arial"/>
                <w:b/>
                <w:color w:val="FFFFFF"/>
                <w:sz w:val="17"/>
              </w:rPr>
              <w:t>Bereich</w:t>
            </w:r>
          </w:p>
        </w:tc>
        <w:tc>
          <w:tcPr>
            <w:tcW w:type="dxa" w:w="2578"/>
            <w:shd w:fill="002C5E"/>
          </w:tcPr>
          <w:p>
            <w:pPr>
              <w:spacing w:after="40"/>
            </w:pPr>
            <w:r/>
            <w:r>
              <w:rPr>
                <w:rFonts w:ascii="Arial" w:hAnsi="Arial"/>
                <w:b/>
                <w:color w:val="FFFFFF"/>
                <w:sz w:val="17"/>
              </w:rPr>
              <w:t>Link / Inhalt</w:t>
            </w:r>
          </w:p>
        </w:tc>
        <w:tc>
          <w:tcPr>
            <w:tcW w:type="dxa" w:w="2578"/>
            <w:shd w:fill="002C5E"/>
          </w:tcPr>
          <w:p>
            <w:pPr>
              <w:spacing w:after="40"/>
            </w:pPr>
            <w:r/>
            <w:r>
              <w:rPr>
                <w:rFonts w:ascii="Arial" w:hAnsi="Arial"/>
                <w:b/>
                <w:color w:val="FFFFFF"/>
                <w:sz w:val="17"/>
              </w:rPr>
              <w:t>Zweck im WBT</w:t>
            </w:r>
          </w:p>
        </w:tc>
        <w:tc>
          <w:tcPr>
            <w:tcW w:type="dxa" w:w="2578"/>
            <w:shd w:fill="002C5E"/>
          </w:tcPr>
          <w:p>
            <w:pPr>
              <w:spacing w:after="40"/>
            </w:pPr>
            <w:r/>
            <w:r>
              <w:rPr>
                <w:rFonts w:ascii="Arial" w:hAnsi="Arial"/>
                <w:b/>
                <w:color w:val="FFFFFF"/>
                <w:sz w:val="17"/>
              </w:rPr>
              <w:t>Status</w:t>
            </w:r>
          </w:p>
        </w:tc>
      </w:tr>
      <w:tr>
        <w:tc>
          <w:tcPr>
            <w:tcW w:type="dxa" w:w="1531"/>
            <w:vAlign w:val="top"/>
          </w:tcPr>
          <w:p>
            <w:pPr>
              <w:spacing w:after="40"/>
            </w:pPr>
            <w:r/>
            <w:r>
              <w:rPr>
                <w:rFonts w:ascii="Arial" w:hAnsi="Arial"/>
                <w:b/>
                <w:sz w:val="16"/>
              </w:rPr>
              <w:t>Governance</w:t>
            </w:r>
          </w:p>
        </w:tc>
        <w:tc>
          <w:tcPr>
            <w:tcW w:type="dxa" w:w="2665"/>
            <w:vAlign w:val="top"/>
          </w:tcPr>
          <w:p>
            <w:pPr>
              <w:spacing w:after="40"/>
            </w:pPr>
            <w:r/>
            <w:r>
              <w:rPr>
                <w:rFonts w:ascii="Arial" w:hAnsi="Arial"/>
                <w:b w:val="0"/>
                <w:sz w:val="16"/>
              </w:rPr>
              <w:t>Leitlinien zur Regierungs- und Verwaltungskommunikation (STRB 83/2017)</w:t>
            </w:r>
          </w:p>
        </w:tc>
        <w:tc>
          <w:tcPr>
            <w:tcW w:type="dxa" w:w="3572"/>
            <w:vAlign w:val="top"/>
          </w:tcPr>
          <w:p>
            <w:pPr>
              <w:spacing w:after="40"/>
            </w:pPr>
            <w:r/>
            <w:r>
              <w:rPr>
                <w:rFonts w:ascii="Arial" w:hAnsi="Arial"/>
                <w:b w:val="0"/>
                <w:sz w:val="16"/>
              </w:rPr>
              <w:t>Grundlage für Zuständigkeiten, Freigaben und professionelle Verwaltungskommunikation.</w:t>
            </w:r>
          </w:p>
        </w:tc>
        <w:tc>
          <w:tcPr>
            <w:tcW w:type="dxa" w:w="1304"/>
            <w:vAlign w:val="top"/>
          </w:tcPr>
          <w:p>
            <w:pPr>
              <w:spacing w:after="40"/>
            </w:pPr>
            <w:r/>
            <w:r>
              <w:rPr>
                <w:rFonts w:ascii="Arial" w:hAnsi="Arial"/>
                <w:b w:val="0"/>
                <w:sz w:val="16"/>
              </w:rPr>
              <w:t>[Link einsetzen]</w:t>
            </w:r>
          </w:p>
        </w:tc>
      </w:tr>
      <w:tr>
        <w:tc>
          <w:tcPr>
            <w:tcW w:type="dxa" w:w="1531"/>
            <w:vAlign w:val="top"/>
          </w:tcPr>
          <w:p>
            <w:pPr>
              <w:spacing w:after="40"/>
            </w:pPr>
            <w:r/>
            <w:r>
              <w:rPr>
                <w:rFonts w:ascii="Arial" w:hAnsi="Arial"/>
                <w:b/>
                <w:sz w:val="16"/>
              </w:rPr>
              <w:t>Governance</w:t>
            </w:r>
          </w:p>
        </w:tc>
        <w:tc>
          <w:tcPr>
            <w:tcW w:type="dxa" w:w="2665"/>
            <w:vAlign w:val="top"/>
          </w:tcPr>
          <w:p>
            <w:pPr>
              <w:spacing w:after="40"/>
            </w:pPr>
            <w:r/>
            <w:r>
              <w:rPr>
                <w:rFonts w:ascii="Arial" w:hAnsi="Arial"/>
                <w:b w:val="0"/>
                <w:sz w:val="16"/>
              </w:rPr>
              <w:t>Richtlinie über die Nutzung von generativer KI (STRB 2281/2025)</w:t>
            </w:r>
          </w:p>
        </w:tc>
        <w:tc>
          <w:tcPr>
            <w:tcW w:type="dxa" w:w="3572"/>
            <w:vAlign w:val="top"/>
          </w:tcPr>
          <w:p>
            <w:pPr>
              <w:spacing w:after="40"/>
            </w:pPr>
            <w:r/>
            <w:r>
              <w:rPr>
                <w:rFonts w:ascii="Arial" w:hAnsi="Arial"/>
                <w:b w:val="0"/>
                <w:sz w:val="16"/>
              </w:rPr>
              <w:t>Rahmen für zulässige Nutzung, Daten, Tools und Verantwortlichkeiten.</w:t>
            </w:r>
          </w:p>
        </w:tc>
        <w:tc>
          <w:tcPr>
            <w:tcW w:type="dxa" w:w="1304"/>
            <w:vAlign w:val="top"/>
          </w:tcPr>
          <w:p>
            <w:pPr>
              <w:spacing w:after="40"/>
            </w:pPr>
            <w:r/>
            <w:r>
              <w:rPr>
                <w:rFonts w:ascii="Arial" w:hAnsi="Arial"/>
                <w:b w:val="0"/>
                <w:sz w:val="16"/>
              </w:rPr>
              <w:t>[Link einsetzen]</w:t>
            </w:r>
          </w:p>
        </w:tc>
      </w:tr>
      <w:tr>
        <w:tc>
          <w:tcPr>
            <w:tcW w:type="dxa" w:w="1531"/>
            <w:vAlign w:val="top"/>
          </w:tcPr>
          <w:p>
            <w:pPr>
              <w:spacing w:after="40"/>
            </w:pPr>
            <w:r/>
            <w:r>
              <w:rPr>
                <w:rFonts w:ascii="Arial" w:hAnsi="Arial"/>
                <w:b/>
                <w:sz w:val="16"/>
              </w:rPr>
              <w:t>Governance</w:t>
            </w:r>
          </w:p>
        </w:tc>
        <w:tc>
          <w:tcPr>
            <w:tcW w:type="dxa" w:w="2665"/>
            <w:vAlign w:val="top"/>
          </w:tcPr>
          <w:p>
            <w:pPr>
              <w:spacing w:after="40"/>
            </w:pPr>
            <w:r/>
            <w:r>
              <w:rPr>
                <w:rFonts w:ascii="Arial" w:hAnsi="Arial"/>
                <w:b w:val="0"/>
                <w:sz w:val="16"/>
              </w:rPr>
              <w:t>Komm-Anwendungsprinzipien für KI in der Kommunikation</w:t>
            </w:r>
          </w:p>
        </w:tc>
        <w:tc>
          <w:tcPr>
            <w:tcW w:type="dxa" w:w="3572"/>
            <w:vAlign w:val="top"/>
          </w:tcPr>
          <w:p>
            <w:pPr>
              <w:spacing w:after="40"/>
            </w:pPr>
            <w:r/>
            <w:r>
              <w:rPr>
                <w:rFonts w:ascii="Arial" w:hAnsi="Arial"/>
                <w:b w:val="0"/>
                <w:sz w:val="16"/>
              </w:rPr>
              <w:t>Hauptgrundlage des WBT; Referenz für Prinzipien, Transparenz, Bild/Multimedia und QS.</w:t>
            </w:r>
          </w:p>
        </w:tc>
        <w:tc>
          <w:tcPr>
            <w:tcW w:type="dxa" w:w="1304"/>
            <w:vAlign w:val="top"/>
          </w:tcPr>
          <w:p>
            <w:pPr>
              <w:spacing w:after="40"/>
            </w:pPr>
            <w:r/>
            <w:r>
              <w:rPr>
                <w:rFonts w:ascii="Arial" w:hAnsi="Arial"/>
                <w:b w:val="0"/>
                <w:sz w:val="16"/>
              </w:rPr>
              <w:t>[SharePoint-Link einsetzen]</w:t>
            </w:r>
          </w:p>
        </w:tc>
      </w:tr>
      <w:tr>
        <w:tc>
          <w:tcPr>
            <w:tcW w:type="dxa" w:w="1531"/>
            <w:vAlign w:val="top"/>
          </w:tcPr>
          <w:p>
            <w:pPr>
              <w:spacing w:after="40"/>
            </w:pPr>
            <w:r/>
            <w:r>
              <w:rPr>
                <w:rFonts w:ascii="Arial" w:hAnsi="Arial"/>
                <w:b/>
                <w:sz w:val="16"/>
              </w:rPr>
              <w:t>Transparenz</w:t>
            </w:r>
          </w:p>
        </w:tc>
        <w:tc>
          <w:tcPr>
            <w:tcW w:type="dxa" w:w="2665"/>
            <w:vAlign w:val="top"/>
          </w:tcPr>
          <w:p>
            <w:pPr>
              <w:spacing w:after="40"/>
            </w:pPr>
            <w:r/>
            <w:r>
              <w:rPr>
                <w:rFonts w:ascii="Arial" w:hAnsi="Arial"/>
                <w:b w:val="0"/>
                <w:sz w:val="16"/>
              </w:rPr>
              <w:t>Transparenzregelung / Deklarationsbeispiele</w:t>
            </w:r>
          </w:p>
        </w:tc>
        <w:tc>
          <w:tcPr>
            <w:tcW w:type="dxa" w:w="3572"/>
            <w:vAlign w:val="top"/>
          </w:tcPr>
          <w:p>
            <w:pPr>
              <w:spacing w:after="40"/>
            </w:pPr>
            <w:r/>
            <w:r>
              <w:rPr>
                <w:rFonts w:ascii="Arial" w:hAnsi="Arial"/>
                <w:b w:val="0"/>
                <w:sz w:val="16"/>
              </w:rPr>
              <w:t>Konkrete Formulierungen und Entscheidbaum für Kennzeichnung von KI-Inhalten.</w:t>
            </w:r>
          </w:p>
        </w:tc>
        <w:tc>
          <w:tcPr>
            <w:tcW w:type="dxa" w:w="1304"/>
            <w:vAlign w:val="top"/>
          </w:tcPr>
          <w:p>
            <w:pPr>
              <w:spacing w:after="40"/>
            </w:pPr>
            <w:r/>
            <w:r>
              <w:rPr>
                <w:rFonts w:ascii="Arial" w:hAnsi="Arial"/>
                <w:b w:val="0"/>
                <w:sz w:val="16"/>
              </w:rPr>
              <w:t>[Link einsetzen]</w:t>
            </w:r>
          </w:p>
        </w:tc>
      </w:tr>
      <w:tr>
        <w:tc>
          <w:tcPr>
            <w:tcW w:type="dxa" w:w="1531"/>
            <w:vAlign w:val="top"/>
          </w:tcPr>
          <w:p>
            <w:pPr>
              <w:spacing w:after="40"/>
            </w:pPr>
            <w:r/>
            <w:r>
              <w:rPr>
                <w:rFonts w:ascii="Arial" w:hAnsi="Arial"/>
                <w:b/>
                <w:sz w:val="16"/>
              </w:rPr>
              <w:t>Deepfakes</w:t>
            </w:r>
          </w:p>
        </w:tc>
        <w:tc>
          <w:tcPr>
            <w:tcW w:type="dxa" w:w="2665"/>
            <w:vAlign w:val="top"/>
          </w:tcPr>
          <w:p>
            <w:pPr>
              <w:spacing w:after="40"/>
            </w:pPr>
            <w:r/>
            <w:r>
              <w:rPr>
                <w:rFonts w:ascii="Arial" w:hAnsi="Arial"/>
                <w:b w:val="0"/>
                <w:sz w:val="16"/>
              </w:rPr>
              <w:t>Deepfake-Merkblatt / Eskalationsweg</w:t>
            </w:r>
          </w:p>
        </w:tc>
        <w:tc>
          <w:tcPr>
            <w:tcW w:type="dxa" w:w="3572"/>
            <w:vAlign w:val="top"/>
          </w:tcPr>
          <w:p>
            <w:pPr>
              <w:spacing w:after="40"/>
            </w:pPr>
            <w:r/>
            <w:r>
              <w:rPr>
                <w:rFonts w:ascii="Arial" w:hAnsi="Arial"/>
                <w:b w:val="0"/>
                <w:sz w:val="16"/>
              </w:rPr>
              <w:t>Umgang mit Verdachtsfällen, Nichtweiterverbreitung, Sicherung und interne Meldung.</w:t>
            </w:r>
          </w:p>
        </w:tc>
        <w:tc>
          <w:tcPr>
            <w:tcW w:type="dxa" w:w="1304"/>
            <w:vAlign w:val="top"/>
          </w:tcPr>
          <w:p>
            <w:pPr>
              <w:spacing w:after="40"/>
            </w:pPr>
            <w:r/>
            <w:r>
              <w:rPr>
                <w:rFonts w:ascii="Arial" w:hAnsi="Arial"/>
                <w:b w:val="0"/>
                <w:sz w:val="16"/>
              </w:rPr>
              <w:t>[Link einsetzen]</w:t>
            </w:r>
          </w:p>
        </w:tc>
      </w:tr>
      <w:tr>
        <w:tc>
          <w:tcPr>
            <w:tcW w:type="dxa" w:w="1531"/>
            <w:vAlign w:val="top"/>
          </w:tcPr>
          <w:p>
            <w:pPr>
              <w:spacing w:after="40"/>
            </w:pPr>
            <w:r/>
            <w:r>
              <w:rPr>
                <w:rFonts w:ascii="Arial" w:hAnsi="Arial"/>
                <w:b/>
                <w:sz w:val="16"/>
              </w:rPr>
              <w:t>CD/CI</w:t>
            </w:r>
          </w:p>
        </w:tc>
        <w:tc>
          <w:tcPr>
            <w:tcW w:type="dxa" w:w="2665"/>
            <w:vAlign w:val="top"/>
          </w:tcPr>
          <w:p>
            <w:pPr>
              <w:spacing w:after="40"/>
            </w:pPr>
            <w:r/>
            <w:r>
              <w:rPr>
                <w:rFonts w:ascii="Arial" w:hAnsi="Arial"/>
                <w:b w:val="0"/>
                <w:sz w:val="16"/>
              </w:rPr>
              <w:t>CD-Manual, Bildwelt und Office-Vorgaben Stadt Zürich</w:t>
            </w:r>
          </w:p>
        </w:tc>
        <w:tc>
          <w:tcPr>
            <w:tcW w:type="dxa" w:w="3572"/>
            <w:vAlign w:val="top"/>
          </w:tcPr>
          <w:p>
            <w:pPr>
              <w:spacing w:after="40"/>
            </w:pPr>
            <w:r/>
            <w:r>
              <w:rPr>
                <w:rFonts w:ascii="Arial" w:hAnsi="Arial"/>
                <w:b w:val="0"/>
                <w:sz w:val="16"/>
              </w:rPr>
              <w:t>Sicherung von städtischer Identität, Bildsprache, Farben, Layout und Tonalität.</w:t>
            </w:r>
          </w:p>
        </w:tc>
        <w:tc>
          <w:tcPr>
            <w:tcW w:type="dxa" w:w="1304"/>
            <w:vAlign w:val="top"/>
          </w:tcPr>
          <w:p>
            <w:pPr>
              <w:spacing w:after="40"/>
            </w:pPr>
            <w:r/>
            <w:r>
              <w:rPr>
                <w:rFonts w:ascii="Arial" w:hAnsi="Arial"/>
                <w:b w:val="0"/>
                <w:sz w:val="16"/>
              </w:rPr>
              <w:t>[Link einsetzen]</w:t>
            </w:r>
          </w:p>
        </w:tc>
      </w:tr>
      <w:tr>
        <w:tc>
          <w:tcPr>
            <w:tcW w:type="dxa" w:w="1531"/>
            <w:vAlign w:val="top"/>
          </w:tcPr>
          <w:p>
            <w:pPr>
              <w:spacing w:after="40"/>
            </w:pPr>
            <w:r/>
            <w:r>
              <w:rPr>
                <w:rFonts w:ascii="Arial" w:hAnsi="Arial"/>
                <w:b/>
                <w:sz w:val="16"/>
              </w:rPr>
              <w:t>Sprache</w:t>
            </w:r>
          </w:p>
        </w:tc>
        <w:tc>
          <w:tcPr>
            <w:tcW w:type="dxa" w:w="2665"/>
            <w:vAlign w:val="top"/>
          </w:tcPr>
          <w:p>
            <w:pPr>
              <w:spacing w:after="40"/>
            </w:pPr>
            <w:r/>
            <w:r>
              <w:rPr>
                <w:rFonts w:ascii="Arial" w:hAnsi="Arial"/>
                <w:b w:val="0"/>
                <w:sz w:val="16"/>
              </w:rPr>
              <w:t>Sprachvorgaben der Stadt Zürich</w:t>
            </w:r>
          </w:p>
        </w:tc>
        <w:tc>
          <w:tcPr>
            <w:tcW w:type="dxa" w:w="3572"/>
            <w:vAlign w:val="top"/>
          </w:tcPr>
          <w:p>
            <w:pPr>
              <w:spacing w:after="40"/>
            </w:pPr>
            <w:r/>
            <w:r>
              <w:rPr>
                <w:rFonts w:ascii="Arial" w:hAnsi="Arial"/>
                <w:b w:val="0"/>
                <w:sz w:val="16"/>
              </w:rPr>
              <w:t>Grundlage für verständliche, sachliche und einheitliche Kommunikation.</w:t>
            </w:r>
          </w:p>
        </w:tc>
        <w:tc>
          <w:tcPr>
            <w:tcW w:type="dxa" w:w="1304"/>
            <w:vAlign w:val="top"/>
          </w:tcPr>
          <w:p>
            <w:pPr>
              <w:spacing w:after="40"/>
            </w:pPr>
            <w:r/>
            <w:r>
              <w:rPr>
                <w:rFonts w:ascii="Arial" w:hAnsi="Arial"/>
                <w:b w:val="0"/>
                <w:sz w:val="16"/>
              </w:rPr>
              <w:t>[Link einsetzen]</w:t>
            </w:r>
          </w:p>
        </w:tc>
      </w:tr>
      <w:tr>
        <w:tc>
          <w:tcPr>
            <w:tcW w:type="dxa" w:w="1531"/>
            <w:vAlign w:val="top"/>
          </w:tcPr>
          <w:p>
            <w:pPr>
              <w:spacing w:after="40"/>
            </w:pPr>
            <w:r/>
            <w:r>
              <w:rPr>
                <w:rFonts w:ascii="Arial" w:hAnsi="Arial"/>
                <w:b/>
                <w:sz w:val="16"/>
              </w:rPr>
              <w:t>Toolbox</w:t>
            </w:r>
          </w:p>
        </w:tc>
        <w:tc>
          <w:tcPr>
            <w:tcW w:type="dxa" w:w="2665"/>
            <w:vAlign w:val="top"/>
          </w:tcPr>
          <w:p>
            <w:pPr>
              <w:spacing w:after="40"/>
            </w:pPr>
            <w:r/>
            <w:r>
              <w:rPr>
                <w:rFonts w:ascii="Arial" w:hAnsi="Arial"/>
                <w:b w:val="0"/>
                <w:sz w:val="16"/>
              </w:rPr>
              <w:t>SharePoint der Kommunikation: Komm-spezifische KI-Werkzeuge</w:t>
            </w:r>
          </w:p>
        </w:tc>
        <w:tc>
          <w:tcPr>
            <w:tcW w:type="dxa" w:w="3572"/>
            <w:vAlign w:val="top"/>
          </w:tcPr>
          <w:p>
            <w:pPr>
              <w:spacing w:after="40"/>
            </w:pPr>
            <w:r/>
            <w:r>
              <w:rPr>
                <w:rFonts w:ascii="Arial" w:hAnsi="Arial"/>
                <w:b w:val="0"/>
                <w:sz w:val="16"/>
              </w:rPr>
              <w:t>Zentrale Einstiegsseite für freigegebene oder empfohlene Tools, Vorlagen, Prompts und Support.</w:t>
            </w:r>
          </w:p>
        </w:tc>
        <w:tc>
          <w:tcPr>
            <w:tcW w:type="dxa" w:w="1304"/>
            <w:vAlign w:val="top"/>
          </w:tcPr>
          <w:p>
            <w:pPr>
              <w:spacing w:after="40"/>
            </w:pPr>
            <w:r/>
            <w:r>
              <w:rPr>
                <w:rFonts w:ascii="Arial" w:hAnsi="Arial"/>
                <w:b w:val="0"/>
                <w:sz w:val="16"/>
              </w:rPr>
              <w:t>[SharePoint-Link einsetzen]</w:t>
            </w:r>
          </w:p>
        </w:tc>
      </w:tr>
      <w:tr>
        <w:tc>
          <w:tcPr>
            <w:tcW w:type="dxa" w:w="1531"/>
            <w:vAlign w:val="top"/>
          </w:tcPr>
          <w:p>
            <w:pPr>
              <w:spacing w:after="40"/>
            </w:pPr>
            <w:r/>
            <w:r>
              <w:rPr>
                <w:rFonts w:ascii="Arial" w:hAnsi="Arial"/>
                <w:b/>
                <w:sz w:val="16"/>
              </w:rPr>
              <w:t>Toolbox</w:t>
            </w:r>
          </w:p>
        </w:tc>
        <w:tc>
          <w:tcPr>
            <w:tcW w:type="dxa" w:w="2665"/>
            <w:vAlign w:val="top"/>
          </w:tcPr>
          <w:p>
            <w:pPr>
              <w:spacing w:after="40"/>
            </w:pPr>
            <w:r/>
            <w:r>
              <w:rPr>
                <w:rFonts w:ascii="Arial" w:hAnsi="Arial"/>
                <w:b w:val="0"/>
                <w:sz w:val="16"/>
              </w:rPr>
              <w:t>ZüriA</w:t>
            </w:r>
          </w:p>
        </w:tc>
        <w:tc>
          <w:tcPr>
            <w:tcW w:type="dxa" w:w="3572"/>
            <w:vAlign w:val="top"/>
          </w:tcPr>
          <w:p>
            <w:pPr>
              <w:spacing w:after="40"/>
            </w:pPr>
            <w:r/>
            <w:r>
              <w:rPr>
                <w:rFonts w:ascii="Arial" w:hAnsi="Arial"/>
                <w:b w:val="0"/>
                <w:sz w:val="16"/>
              </w:rPr>
              <w:t>Bevorzugtes Tool für KI-Arbeit gemäss Vorgaben der jeweiligen Dienstabteilung.</w:t>
            </w:r>
          </w:p>
        </w:tc>
        <w:tc>
          <w:tcPr>
            <w:tcW w:type="dxa" w:w="1304"/>
            <w:vAlign w:val="top"/>
          </w:tcPr>
          <w:p>
            <w:pPr>
              <w:spacing w:after="40"/>
            </w:pPr>
            <w:r/>
            <w:r>
              <w:rPr>
                <w:rFonts w:ascii="Arial" w:hAnsi="Arial"/>
                <w:b w:val="0"/>
                <w:sz w:val="16"/>
              </w:rPr>
              <w:t>[Link einsetzen]</w:t>
            </w:r>
          </w:p>
        </w:tc>
      </w:tr>
      <w:tr>
        <w:tc>
          <w:tcPr>
            <w:tcW w:type="dxa" w:w="1531"/>
            <w:vAlign w:val="top"/>
          </w:tcPr>
          <w:p>
            <w:pPr>
              <w:spacing w:after="40"/>
            </w:pPr>
            <w:r/>
            <w:r>
              <w:rPr>
                <w:rFonts w:ascii="Arial" w:hAnsi="Arial"/>
                <w:b/>
                <w:sz w:val="16"/>
              </w:rPr>
              <w:t>Toolbox</w:t>
            </w:r>
          </w:p>
        </w:tc>
        <w:tc>
          <w:tcPr>
            <w:tcW w:type="dxa" w:w="2665"/>
            <w:vAlign w:val="top"/>
          </w:tcPr>
          <w:p>
            <w:pPr>
              <w:spacing w:after="40"/>
            </w:pPr>
            <w:r/>
            <w:r>
              <w:rPr>
                <w:rFonts w:ascii="Arial" w:hAnsi="Arial"/>
                <w:b w:val="0"/>
                <w:sz w:val="16"/>
              </w:rPr>
              <w:t>Capito</w:t>
            </w:r>
          </w:p>
        </w:tc>
        <w:tc>
          <w:tcPr>
            <w:tcW w:type="dxa" w:w="3572"/>
            <w:vAlign w:val="top"/>
          </w:tcPr>
          <w:p>
            <w:pPr>
              <w:spacing w:after="40"/>
            </w:pPr>
            <w:r/>
            <w:r>
              <w:rPr>
                <w:rFonts w:ascii="Arial" w:hAnsi="Arial"/>
                <w:b w:val="0"/>
                <w:sz w:val="16"/>
              </w:rPr>
              <w:t>Werkzeug/Angebot für verständliche bzw. einfache Sprache; konkrete Nutzung durch Komm festlegen.</w:t>
            </w:r>
          </w:p>
        </w:tc>
        <w:tc>
          <w:tcPr>
            <w:tcW w:type="dxa" w:w="1304"/>
            <w:vAlign w:val="top"/>
          </w:tcPr>
          <w:p>
            <w:pPr>
              <w:spacing w:after="40"/>
            </w:pPr>
            <w:r/>
            <w:r>
              <w:rPr>
                <w:rFonts w:ascii="Arial" w:hAnsi="Arial"/>
                <w:b w:val="0"/>
                <w:sz w:val="16"/>
              </w:rPr>
              <w:t>[Link einsetzen]</w:t>
            </w:r>
          </w:p>
        </w:tc>
      </w:tr>
      <w:tr>
        <w:tc>
          <w:tcPr>
            <w:tcW w:type="dxa" w:w="1531"/>
            <w:vAlign w:val="top"/>
          </w:tcPr>
          <w:p>
            <w:pPr>
              <w:spacing w:after="40"/>
            </w:pPr>
            <w:r/>
            <w:r>
              <w:rPr>
                <w:rFonts w:ascii="Arial" w:hAnsi="Arial"/>
                <w:b/>
                <w:sz w:val="16"/>
              </w:rPr>
              <w:t>Support</w:t>
            </w:r>
          </w:p>
        </w:tc>
        <w:tc>
          <w:tcPr>
            <w:tcW w:type="dxa" w:w="2665"/>
            <w:vAlign w:val="top"/>
          </w:tcPr>
          <w:p>
            <w:pPr>
              <w:spacing w:after="40"/>
            </w:pPr>
            <w:r/>
            <w:r>
              <w:rPr>
                <w:rFonts w:ascii="Arial" w:hAnsi="Arial"/>
                <w:b w:val="0"/>
                <w:sz w:val="16"/>
              </w:rPr>
              <w:t>Kontakt Kommunikation / Toolverantwortliche</w:t>
            </w:r>
          </w:p>
        </w:tc>
        <w:tc>
          <w:tcPr>
            <w:tcW w:type="dxa" w:w="3572"/>
            <w:vAlign w:val="top"/>
          </w:tcPr>
          <w:p>
            <w:pPr>
              <w:spacing w:after="40"/>
            </w:pPr>
            <w:r/>
            <w:r>
              <w:rPr>
                <w:rFonts w:ascii="Arial" w:hAnsi="Arial"/>
                <w:b w:val="0"/>
                <w:sz w:val="16"/>
              </w:rPr>
              <w:t>Fragen zu Usecases, Freigaben, Toolauswahl und WBT-Inhalten.</w:t>
            </w:r>
          </w:p>
        </w:tc>
        <w:tc>
          <w:tcPr>
            <w:tcW w:type="dxa" w:w="1304"/>
            <w:vAlign w:val="top"/>
          </w:tcPr>
          <w:p>
            <w:pPr>
              <w:spacing w:after="40"/>
            </w:pPr>
            <w:r/>
            <w:r>
              <w:rPr>
                <w:rFonts w:ascii="Arial" w:hAnsi="Arial"/>
                <w:b w:val="0"/>
                <w:sz w:val="16"/>
              </w:rPr>
              <w:t>[Kontakt einsetzen]</w:t>
            </w:r>
          </w:p>
        </w:tc>
      </w:tr>
      <w:tr>
        <w:tc>
          <w:tcPr>
            <w:tcW w:type="dxa" w:w="1531"/>
            <w:vAlign w:val="top"/>
          </w:tcPr>
          <w:p>
            <w:pPr>
              <w:spacing w:after="40"/>
            </w:pPr>
            <w:r/>
            <w:r>
              <w:rPr>
                <w:rFonts w:ascii="Arial" w:hAnsi="Arial"/>
                <w:b/>
                <w:sz w:val="16"/>
              </w:rPr>
              <w:t>Support</w:t>
            </w:r>
          </w:p>
        </w:tc>
        <w:tc>
          <w:tcPr>
            <w:tcW w:type="dxa" w:w="2665"/>
            <w:vAlign w:val="top"/>
          </w:tcPr>
          <w:p>
            <w:pPr>
              <w:spacing w:after="40"/>
            </w:pPr>
            <w:r/>
            <w:r>
              <w:rPr>
                <w:rFonts w:ascii="Arial" w:hAnsi="Arial"/>
                <w:b w:val="0"/>
                <w:sz w:val="16"/>
              </w:rPr>
              <w:t>Kontakt Datenschutz / Informationssicherheit / ISDS</w:t>
            </w:r>
          </w:p>
        </w:tc>
        <w:tc>
          <w:tcPr>
            <w:tcW w:type="dxa" w:w="3572"/>
            <w:vAlign w:val="top"/>
          </w:tcPr>
          <w:p>
            <w:pPr>
              <w:spacing w:after="40"/>
            </w:pPr>
            <w:r/>
            <w:r>
              <w:rPr>
                <w:rFonts w:ascii="Arial" w:hAnsi="Arial"/>
                <w:b w:val="0"/>
                <w:sz w:val="16"/>
              </w:rPr>
              <w:t>Abklärung bei Personendaten, vertraulichen Informationen, externen Tools und erhöhten Risiken.</w:t>
            </w:r>
          </w:p>
        </w:tc>
        <w:tc>
          <w:tcPr>
            <w:tcW w:type="dxa" w:w="1304"/>
            <w:vAlign w:val="top"/>
          </w:tcPr>
          <w:p>
            <w:pPr>
              <w:spacing w:after="40"/>
            </w:pPr>
            <w:r/>
            <w:r>
              <w:rPr>
                <w:rFonts w:ascii="Arial" w:hAnsi="Arial"/>
                <w:b w:val="0"/>
                <w:sz w:val="16"/>
              </w:rPr>
              <w:t>[Kontakt einsetzen]</w:t>
            </w:r>
          </w:p>
        </w:tc>
      </w:tr>
    </w:tbl>
    <w:p>
      <w:pPr>
        <w:pStyle w:val="Heading2"/>
        <w:spacing w:before="80" w:after="80"/>
      </w:pPr>
      <w:r>
        <w:rPr>
          <w:rFonts w:ascii="Arial" w:hAnsi="Arial"/>
          <w:b/>
          <w:color w:val="002C5E"/>
          <w:sz w:val="28"/>
        </w:rPr>
        <w:t>Abschluss des WBT</w:t>
      </w:r>
    </w:p>
    <w:tbl>
      <w:tblPr>
        <w:tblStyle w:val="TableGrid"/>
        <w:tblW w:type="auto" w:w="0"/>
        <w:jc w:val="center"/>
        <w:tblLook w:firstColumn="1" w:firstRow="1" w:lastColumn="0" w:lastRow="0" w:noHBand="0" w:noVBand="1" w:val="04A0"/>
      </w:tblPr>
      <w:tblGrid>
        <w:gridCol w:w="5156"/>
        <w:gridCol w:w="5156"/>
      </w:tblGrid>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Abschlussbotschaft</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KI kann Kommunikationsarbeit wirksamer machen, wenn sie entlang klarer Prinzipien, transparenter Kennzeichnung und sauberer Freigabe eingesetzt wird.</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Transferfrage</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Welche wiederkehrende Kommunikationsaufgabe könnte im eigenen Arbeitsbereich sinnvoll KI-unterstützt werden, ohne Verantwortung, Qualität und Transparenz zu schwächen?</w:t>
            </w:r>
          </w:p>
        </w:tc>
      </w:tr>
      <w:tr>
        <w:tc>
          <w:tcPr>
            <w:tcW w:type="dxa" w:w="2835"/>
            <w:vAlign w:val="top"/>
            <w:tcBorders>
              <w:top w:val="single" w:sz="4" w:color="BFBFBF"/>
              <w:start w:val="single" w:sz="4" w:color="BFBFBF"/>
              <w:bottom w:val="single" w:sz="4" w:color="BFBFBF"/>
              <w:end w:val="single" w:sz="4" w:color="BFBFBF"/>
            </w:tcBorders>
          </w:tcPr>
          <w:p>
            <w:pPr>
              <w:spacing w:after="40"/>
            </w:pPr>
            <w:r/>
            <w:r>
              <w:rPr>
                <w:rFonts w:ascii="Arial" w:hAnsi="Arial"/>
                <w:b/>
                <w:sz w:val="19"/>
              </w:rPr>
              <w:t>Optionaler Download</w:t>
            </w:r>
          </w:p>
        </w:tc>
        <w:tc>
          <w:tcPr>
            <w:tcW w:type="dxa" w:w="6236"/>
            <w:vAlign w:val="top"/>
            <w:tcBorders>
              <w:top w:val="single" w:sz="4" w:color="BFBFBF"/>
              <w:start w:val="single" w:sz="4" w:color="BFBFBF"/>
              <w:bottom w:val="single" w:sz="4" w:color="BFBFBF"/>
              <w:end w:val="single" w:sz="4" w:color="BFBFBF"/>
            </w:tcBorders>
          </w:tcPr>
          <w:p>
            <w:pPr>
              <w:spacing w:after="40"/>
            </w:pPr>
            <w:r/>
            <w:r>
              <w:rPr>
                <w:rFonts w:ascii="Arial" w:hAnsi="Arial"/>
                <w:b w:val="0"/>
                <w:sz w:val="19"/>
              </w:rPr>
              <w:t>Merkkarte «KI in der Kommunikation: 5 Prinzipien, 5 Prüffragen, 5 Links» als PDF ergänzen.</w:t>
            </w:r>
          </w:p>
        </w:tc>
      </w:tr>
    </w:tbl>
    <w:p>
      <w:pPr>
        <w:pStyle w:val="Heading2"/>
        <w:spacing w:before="80" w:after="80"/>
      </w:pPr>
      <w:r>
        <w:rPr>
          <w:rFonts w:ascii="Arial" w:hAnsi="Arial"/>
          <w:b/>
          <w:color w:val="002C5E"/>
          <w:sz w:val="28"/>
        </w:rPr>
        <w:t>Offene Punkte für die finale Produktion</w:t>
      </w:r>
    </w:p>
    <w:p>
      <w:pPr>
        <w:spacing w:after="40"/>
        <w:ind w:left="227" w:hanging="142"/>
      </w:pPr>
      <w:r>
        <w:rPr>
          <w:rFonts w:ascii="Arial" w:hAnsi="Arial"/>
          <w:sz w:val="19"/>
        </w:rPr>
        <w:t>• Finalen Wortlaut der Transparenzregelung inkl. Deklarationsbeispiele mit geltender KI-Richtlinie und Kommunikation abstimmen.</w:t>
      </w:r>
    </w:p>
    <w:p>
      <w:pPr>
        <w:spacing w:after="40"/>
        <w:ind w:left="227" w:hanging="142"/>
      </w:pPr>
      <w:r>
        <w:rPr>
          <w:rFonts w:ascii="Arial" w:hAnsi="Arial"/>
          <w:sz w:val="19"/>
        </w:rPr>
        <w:t>• SharePoint-Links, Toolfreigaben, Kontaktstellen und Supportwege ergänzen.</w:t>
      </w:r>
    </w:p>
    <w:p>
      <w:pPr>
        <w:spacing w:after="40"/>
        <w:ind w:left="227" w:hanging="142"/>
      </w:pPr>
      <w:r>
        <w:rPr>
          <w:rFonts w:ascii="Arial" w:hAnsi="Arial"/>
          <w:sz w:val="19"/>
        </w:rPr>
        <w:t>• Finale Usecases durch Kommunikation auswählen; Beispiele fachlich validieren und auf Zeitbeständigkeit prüfen.</w:t>
      </w:r>
    </w:p>
    <w:p>
      <w:pPr>
        <w:spacing w:after="40"/>
        <w:ind w:left="227" w:hanging="142"/>
      </w:pPr>
      <w:r>
        <w:rPr>
          <w:rFonts w:ascii="Arial" w:hAnsi="Arial"/>
          <w:sz w:val="19"/>
        </w:rPr>
        <w:t>• Entscheiden, ob die Lernzielkontrollen nur formativ sind oder ob ein Abschlusstest mit Bestehenslogik benötigt wird.</w:t>
      </w:r>
    </w:p>
    <w:p>
      <w:pPr>
        <w:spacing w:after="40"/>
        <w:ind w:left="227" w:hanging="142"/>
      </w:pPr>
      <w:r>
        <w:rPr>
          <w:rFonts w:ascii="Arial" w:hAnsi="Arial"/>
          <w:sz w:val="19"/>
        </w:rPr>
        <w:t>• Barrierefreiheit der Rise-360-Umsetzung prüfen: Alternativtexte, klare Linktexte, Tastaturbedienbarkeit, Kontraste, verständliche Rückmeldungen.</w:t>
      </w:r>
    </w:p>
    <w:p>
      <w:pPr>
        <w:spacing w:after="40"/>
        <w:ind w:left="227" w:hanging="142"/>
      </w:pPr>
      <w:r>
        <w:rPr>
          <w:rFonts w:ascii="Arial" w:hAnsi="Arial"/>
          <w:sz w:val="19"/>
        </w:rPr>
        <w:t>• Deepfake-Eskalationsweg und interne Zuständigkeiten verbindlich ergänzen.</w:t>
      </w:r>
    </w:p>
    <w:p>
      <w:pPr>
        <w:pStyle w:val="Heading2"/>
        <w:spacing w:before="80" w:after="80"/>
      </w:pPr>
      <w:r>
        <w:rPr>
          <w:rFonts w:ascii="Arial" w:hAnsi="Arial"/>
          <w:b/>
          <w:color w:val="002C5E"/>
          <w:sz w:val="28"/>
        </w:rPr>
        <w:t>Verwendete Grundlagen</w:t>
      </w:r>
    </w:p>
    <w:p>
      <w:pPr>
        <w:spacing w:after="40"/>
        <w:ind w:left="227" w:hanging="142"/>
      </w:pPr>
      <w:r>
        <w:rPr>
          <w:rFonts w:ascii="Arial" w:hAnsi="Arial"/>
          <w:sz w:val="19"/>
        </w:rPr>
        <w:t>• Drehbuch Rise 360, Vorlage «Drehbuch KI Kommunikation WBT».</w:t>
      </w:r>
    </w:p>
    <w:p>
      <w:pPr>
        <w:spacing w:after="40"/>
        <w:ind w:left="227" w:hanging="142"/>
      </w:pPr>
      <w:r>
        <w:rPr>
          <w:rFonts w:ascii="Arial" w:hAnsi="Arial"/>
          <w:sz w:val="19"/>
        </w:rPr>
        <w:t>• Entwurf «Anwendungsprinzipien für KI in der Kommunikation», bereitgestellte Fassung.</w:t>
      </w:r>
    </w:p>
    <w:p>
      <w:pPr>
        <w:spacing w:after="40"/>
        <w:ind w:left="227" w:hanging="142"/>
      </w:pPr>
      <w:r>
        <w:rPr>
          <w:rFonts w:ascii="Arial" w:hAnsi="Arial"/>
          <w:sz w:val="19"/>
        </w:rPr>
        <w:t>• Leitlinien zur Regierungs- und Verwaltungskommunikation (STRB 83/2017) – Link final ergänzen.</w:t>
      </w:r>
    </w:p>
    <w:p>
      <w:pPr>
        <w:spacing w:after="40"/>
        <w:ind w:left="227" w:hanging="142"/>
      </w:pPr>
      <w:r>
        <w:rPr>
          <w:rFonts w:ascii="Arial" w:hAnsi="Arial"/>
          <w:sz w:val="19"/>
        </w:rPr>
        <w:t>• Richtlinie über die Nutzung von generativer künstlicher Intelligenz (STRB 2281/2025) – Link final ergänzen.</w:t>
      </w:r>
    </w:p>
    <w:p>
      <w:pPr>
        <w:spacing w:after="40"/>
        <w:ind w:left="227" w:hanging="142"/>
      </w:pPr>
      <w:r>
        <w:rPr>
          <w:rFonts w:ascii="Arial" w:hAnsi="Arial"/>
          <w:sz w:val="19"/>
        </w:rPr>
        <w:t>• CD-Manual, Bildwelt und Sprachvorgaben der Stadt Zürich – Links final ergänzen.</w:t>
      </w:r>
    </w:p>
    <w:sectPr w:rsidR="00FC693F" w:rsidRPr="0006063C" w:rsidSect="00034616">
      <w:headerReference w:type="default" r:id="rId9"/>
      <w:footerReference w:type="default" r:id="rId10"/>
      <w:pgSz w:w="12240" w:h="15840"/>
      <w:pgMar w:top="907"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Entwurf Version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Drehbuch Rise 360 | KI in der Kommunikation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2C5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2C5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2C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Drehbuch WBT KI in der Kommunikation</dc:title>
  <dc:subject>Rise 360 Drehbuch</dc:subject>
  <dc:creator>OpenAI / Paul Meyrat</dc:creator>
  <cp:keywords/>
  <dc:description>Arbeitsentwurf Version 2.0</dc:description>
  <cp:lastModifiedBy/>
  <cp:revision>1</cp:revision>
  <dcterms:created xsi:type="dcterms:W3CDTF">2013-12-23T23:15:00Z</dcterms:created>
  <dcterms:modified xsi:type="dcterms:W3CDTF">2013-12-23T23:15:00Z</dcterms:modified>
  <cp:category/>
</cp:coreProperties>
</file>