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280"/>
        <w:jc w:val="center"/>
      </w:pPr>
      <w:r>
        <w:rPr>
          <w:rFonts w:ascii="Calibri" w:hAnsi="Calibri"/>
          <w:b/>
          <w:color w:val="9D632C"/>
          <w:sz w:val="20"/>
        </w:rPr>
        <w:t>GAME DESIGN &amp; DEVELOPMENT</w:t>
      </w:r>
    </w:p>
    <w:p>
      <w:pPr>
        <w:spacing w:after="100"/>
        <w:jc w:val="center"/>
      </w:pPr>
      <w:r>
        <w:rPr>
          <w:rFonts w:ascii="Calibri" w:hAnsi="Calibri"/>
          <w:b/>
          <w:color w:val="0B2630"/>
          <w:sz w:val="68"/>
        </w:rPr>
        <w:t>FSHING</w:t>
      </w:r>
    </w:p>
    <w:p>
      <w:pPr>
        <w:spacing w:after="360"/>
        <w:jc w:val="center"/>
      </w:pPr>
      <w:r>
        <w:rPr>
          <w:rFonts w:ascii="Calibri" w:hAnsi="Calibri"/>
          <w:color w:val="173F49"/>
          <w:sz w:val="30"/>
        </w:rPr>
        <w:t>Environmental Science on an Expanding Lake</w:t>
      </w:r>
    </w:p>
    <w:p>
      <w:pPr>
        <w:spacing w:after="360"/>
        <w:jc w:val="center"/>
      </w:pPr>
      <w:r>
        <w:rPr>
          <w:rFonts w:ascii="Calibri" w:hAnsi="Calibri"/>
          <w:color w:val="53666C"/>
          <w:sz w:val="22"/>
        </w:rPr>
        <w:t>Measure the water. Predict a species. Plan the crossing. Protect the ecosystem.</w:t>
      </w:r>
    </w:p>
    <w:p>
      <w:pPr>
        <w:spacing w:after="300"/>
        <w:jc w:val="center"/>
      </w:pPr>
      <w:r>
        <w:drawing>
          <wp:inline xmlns:a="http://schemas.openxmlformats.org/drawingml/2006/main" xmlns:pic="http://schemas.openxmlformats.org/drawingml/2006/picture">
            <wp:extent cx="5349240" cy="3343275"/>
            <wp:docPr id="1" name="Picture 1" descr="FSHING main menu over the illustrated lake"/>
            <wp:cNvGraphicFramePr>
              <a:graphicFrameLocks noChangeAspect="1"/>
            </wp:cNvGraphicFramePr>
            <a:graphic>
              <a:graphicData uri="http://schemas.openxmlformats.org/drawingml/2006/picture">
                <pic:pic>
                  <pic:nvPicPr>
                    <pic:cNvPr id="0" name="01-title.png"/>
                    <pic:cNvPicPr/>
                  </pic:nvPicPr>
                  <pic:blipFill>
                    <a:blip r:embed="rId11"/>
                    <a:stretch>
                      <a:fillRect/>
                    </a:stretch>
                  </pic:blipFill>
                  <pic:spPr>
                    <a:xfrm>
                      <a:off x="0" y="0"/>
                      <a:ext cx="5349240" cy="3343275"/>
                    </a:xfrm>
                    <a:prstGeom prst="rect"/>
                  </pic:spPr>
                </pic:pic>
              </a:graphicData>
            </a:graphic>
          </wp:inline>
        </w:drawing>
      </w:r>
    </w:p>
    <w:p>
      <w:pPr>
        <w:spacing w:after="80"/>
        <w:jc w:val="center"/>
      </w:pPr>
      <w:r>
        <w:rPr>
          <w:rFonts w:ascii="Calibri" w:hAnsi="Calibri"/>
          <w:b/>
          <w:color w:val="0B2630"/>
          <w:sz w:val="22"/>
        </w:rPr>
        <w:t>Assessment 3 — Game Design Submission</w:t>
      </w:r>
    </w:p>
    <w:p>
      <w:pPr>
        <w:spacing w:after="40"/>
        <w:jc w:val="center"/>
      </w:pPr>
      <w:r>
        <w:rPr>
          <w:rFonts w:ascii="Calibri" w:hAnsi="Calibri"/>
          <w:color w:val="53666C"/>
          <w:sz w:val="19"/>
        </w:rPr>
        <w:t>Student: Saxon Rigg-Smith</w:t>
      </w:r>
    </w:p>
    <w:p>
      <w:pPr>
        <w:spacing w:after="40"/>
        <w:jc w:val="center"/>
      </w:pPr>
      <w:r>
        <w:rPr>
          <w:rFonts w:ascii="Calibri" w:hAnsi="Calibri"/>
          <w:color w:val="53666C"/>
          <w:sz w:val="19"/>
        </w:rPr>
        <w:t>Original browser game • TypeScript • Canvas 2D • HTML/CSS</w:t>
      </w:r>
    </w:p>
    <w:p>
      <w:pPr>
        <w:spacing w:after="40"/>
        <w:jc w:val="center"/>
      </w:pPr>
      <w:r>
        <w:rPr>
          <w:rFonts w:ascii="Calibri" w:hAnsi="Calibri"/>
          <w:color w:val="53666C"/>
          <w:sz w:val="19"/>
        </w:rPr>
        <w:t>Portfolio version 1.0 • 31 July 2026</w:t>
      </w:r>
    </w:p>
    <w:p>
      <w:r>
        <w:br w:type="page"/>
      </w:r>
    </w:p>
    <w:p>
      <w:pPr>
        <w:pStyle w:val="Heading1"/>
      </w:pPr>
      <w:r>
        <w:t>Portfolio contents</w:t>
      </w:r>
    </w:p>
    <w:p>
      <w:pPr>
        <w:pStyle w:val="ListNumber"/>
        <w:keepNext w:val="0"/>
        <w:numPr>
          <w:ilvl w:val="0"/>
          <w:numId w:val="10"/>
        </w:numPr>
      </w:pPr>
      <w:r>
        <w:t>Executive summary</w:t>
      </w:r>
    </w:p>
    <w:p>
      <w:pPr>
        <w:pStyle w:val="ListNumber"/>
        <w:keepNext w:val="0"/>
        <w:numPr>
          <w:ilvl w:val="0"/>
          <w:numId w:val="10"/>
        </w:numPr>
      </w:pPr>
      <w:r>
        <w:t>Purpose and intended audience</w:t>
      </w:r>
    </w:p>
    <w:p>
      <w:pPr>
        <w:pStyle w:val="ListNumber"/>
        <w:keepNext w:val="0"/>
        <w:numPr>
          <w:ilvl w:val="0"/>
          <w:numId w:val="10"/>
        </w:numPr>
      </w:pPr>
      <w:r>
        <w:t>Research, inspiration, and originality</w:t>
      </w:r>
    </w:p>
    <w:p>
      <w:pPr>
        <w:pStyle w:val="ListNumber"/>
        <w:keepNext w:val="0"/>
        <w:numPr>
          <w:ilvl w:val="0"/>
          <w:numId w:val="10"/>
        </w:numPr>
      </w:pPr>
      <w:r>
        <w:t>Gameplay design</w:t>
      </w:r>
    </w:p>
    <w:p>
      <w:pPr>
        <w:pStyle w:val="ListNumber"/>
        <w:keepNext w:val="0"/>
        <w:numPr>
          <w:ilvl w:val="0"/>
          <w:numId w:val="10"/>
        </w:numPr>
      </w:pPr>
      <w:r>
        <w:t>Algorithms and computational thinking</w:t>
      </w:r>
    </w:p>
    <w:p>
      <w:pPr>
        <w:pStyle w:val="ListNumber"/>
        <w:keepNext w:val="0"/>
        <w:numPr>
          <w:ilvl w:val="0"/>
          <w:numId w:val="10"/>
        </w:numPr>
      </w:pPr>
      <w:r>
        <w:t>Interface and accessibility design</w:t>
      </w:r>
    </w:p>
    <w:p>
      <w:pPr>
        <w:pStyle w:val="ListNumber"/>
        <w:keepNext w:val="0"/>
        <w:numPr>
          <w:ilvl w:val="0"/>
          <w:numId w:val="10"/>
        </w:numPr>
      </w:pPr>
      <w:r>
        <w:t>Assets and design plans</w:t>
      </w:r>
    </w:p>
    <w:p>
      <w:pPr>
        <w:pStyle w:val="ListNumber"/>
        <w:keepNext w:val="0"/>
        <w:numPr>
          <w:ilvl w:val="0"/>
          <w:numId w:val="10"/>
        </w:numPr>
      </w:pPr>
      <w:r>
        <w:t>Testing and iteration</w:t>
      </w:r>
    </w:p>
    <w:p>
      <w:pPr>
        <w:pStyle w:val="ListNumber"/>
        <w:keepNext w:val="0"/>
        <w:numPr>
          <w:ilvl w:val="0"/>
          <w:numId w:val="10"/>
        </w:numPr>
      </w:pPr>
      <w:r>
        <w:t>Reflection and evaluation</w:t>
      </w:r>
    </w:p>
    <w:p>
      <w:pPr>
        <w:pStyle w:val="ListNumber"/>
        <w:keepNext w:val="0"/>
        <w:numPr>
          <w:ilvl w:val="0"/>
          <w:numId w:val="10"/>
        </w:numPr>
      </w:pPr>
      <w:r>
        <w:t>Rubric evidence map</w:t>
      </w:r>
    </w:p>
    <w:p>
      <w:pPr>
        <w:pStyle w:val="ListNumber"/>
        <w:keepNext w:val="0"/>
        <w:numPr>
          <w:ilvl w:val="0"/>
          <w:numId w:val="10"/>
        </w:numPr>
      </w:pPr>
      <w:r>
        <w:t>Final submission checklist</w:t>
      </w:r>
    </w:p>
    <w:p>
      <w:pPr>
        <w:spacing w:before="160" w:after="240"/>
        <w:shd w:fill="F8EBD7"/>
      </w:pPr>
      <w:r>
        <w:rPr>
          <w:rFonts w:ascii="Calibri" w:hAnsi="Calibri"/>
          <w:b/>
          <w:color w:val="152A31"/>
          <w:sz w:val="20"/>
        </w:rPr>
        <w:t>Evidence note:</w:t>
      </w:r>
      <w:r>
        <w:rPr>
          <w:rFonts w:ascii="Calibri" w:hAnsi="Calibri"/>
          <w:color w:val="152A31"/>
          <w:sz w:val="20"/>
        </w:rPr>
        <w:t xml:space="preserve"> Automated results are recorded from the repository. Human playtest cells remain marked Pending until real participants complete the protocol.</w:t>
      </w:r>
    </w:p>
    <w:p>
      <w:pPr>
        <w:pStyle w:val="Heading1"/>
      </w:pPr>
      <w:r>
        <w:rPr>
          <w:rFonts w:ascii="Calibri" w:hAnsi="Calibri"/>
        </w:rPr>
        <w:t>1. Executive summary</w:t>
      </w:r>
    </w:p>
    <w:p>
      <w:r>
        <w:rPr>
          <w:rFonts w:ascii="Calibri" w:hAnsi="Calibri"/>
        </w:rPr>
        <w:t>FSHING is an original side-on environmental-science fishing and delivery game. The player operates a research boat across a lake that spans several camera widths. At each site, the player reads depth, temperature, dissolved oxygen, turbidity, and habitat evidence, predicts which fish is adapted to those conditions, and then tests the prediction by fishing underwater. A delivery requires a second STEM decision: compare distance, travel time, predicted freshness, and hazard risk before choosing a survey or express route.</w:t>
      </w:r>
    </w:p>
    <w:p>
      <w:r>
        <w:rPr>
          <w:rFonts w:ascii="Calibri" w:hAnsi="Calibri"/>
        </w:rPr>
        <w:t>The game teaches through cause and effect. Catching a fish lowers its population. Releasing an unneeded fish reverses that catch's modelled population cost. Very low stocks become protected, and healthy ecosystems provide a delivery bonus. The field guide records discoveries, adaptations, food-web roles, population labels, survey accuracy, and depth access. After eight deliveries, a season report asks the player to evaluate their evidence, route decisions, and conservation impact.</w:t>
      </w:r>
    </w:p>
    <w:p>
      <w:r>
        <w:rPr>
          <w:rFonts w:ascii="Calibri" w:hAnsi="Calibri"/>
        </w:rPr>
        <w:t>The completed vertical slice contains:</w:t>
      </w:r>
    </w:p>
    <w:p>
      <w:pPr>
        <w:pStyle w:val="ListBullet"/>
      </w:pPr>
      <w:r>
        <w:rPr>
          <w:rFonts w:ascii="Calibri" w:hAnsi="Calibri"/>
        </w:rPr>
        <w:t>one continuous lake across approximately three landscape camera widths;</w:t>
      </w:r>
    </w:p>
    <w:p>
      <w:pPr>
        <w:pStyle w:val="ListBullet"/>
      </w:pPr>
      <w:r>
        <w:rPr>
          <w:rFonts w:ascii="Calibri" w:hAnsi="Calibri"/>
        </w:rPr>
        <w:t>two harbors, three ecosystem regions, six fishing sites, and three visible hazards;</w:t>
      </w:r>
    </w:p>
    <w:p>
      <w:pPr>
        <w:pStyle w:val="ListBullet"/>
      </w:pPr>
      <w:r>
        <w:rPr>
          <w:rFonts w:ascii="Calibri" w:hAnsi="Calibri"/>
        </w:rPr>
        <w:t>nine original fish with different silhouettes, habitat profiles, values, and depth tiers;</w:t>
      </w:r>
    </w:p>
    <w:p>
      <w:pPr>
        <w:pStyle w:val="ListBullet"/>
      </w:pPr>
      <w:r>
        <w:rPr>
          <w:rFonts w:ascii="Calibri" w:hAnsi="Calibri"/>
        </w:rPr>
        <w:t>four upgrade paths with six tiers each and seven visible boat classes;</w:t>
      </w:r>
    </w:p>
    <w:p>
      <w:pPr>
        <w:pStyle w:val="ListBullet"/>
      </w:pPr>
      <w:r>
        <w:rPr>
          <w:rFonts w:ascii="Calibri" w:hAnsi="Calibri"/>
        </w:rPr>
        <w:t>water surveys, route mathematics, freshness, contracts, hazards, populations, protection, release, recovery, and a mastery report;</w:t>
      </w:r>
    </w:p>
    <w:p>
      <w:pPr>
        <w:pStyle w:val="ListBullet"/>
      </w:pPr>
      <w:r>
        <w:rPr>
          <w:rFonts w:ascii="Calibri" w:hAnsi="Calibri"/>
        </w:rPr>
        <w:t>keyboard, pointer, and touch controls;</w:t>
      </w:r>
    </w:p>
    <w:p>
      <w:pPr>
        <w:pStyle w:val="ListBullet"/>
      </w:pPr>
      <w:r>
        <w:rPr>
          <w:rFonts w:ascii="Calibri" w:hAnsi="Calibri"/>
        </w:rPr>
        <w:t>mute, volume, high-contrast, reduced-motion, remappable controls, and pause on focus loss;</w:t>
      </w:r>
    </w:p>
    <w:p>
      <w:pPr>
        <w:pStyle w:val="ListBullet"/>
      </w:pPr>
      <w:r>
        <w:rPr>
          <w:rFonts w:ascii="Calibri" w:hAnsi="Calibri"/>
        </w:rPr>
        <w:t>deterministic gameplay tests, browser interaction tests, and versioned validated saves.</w:t>
      </w:r>
    </w:p>
    <w:p>
      <w:pPr>
        <w:pStyle w:val="Heading1"/>
      </w:pPr>
      <w:r>
        <w:rPr>
          <w:rFonts w:ascii="Calibri" w:hAnsi="Calibri"/>
        </w:rPr>
        <w:t>2. Purpose and intended audience</w:t>
      </w:r>
    </w:p>
    <w:p>
      <w:pPr>
        <w:pStyle w:val="Heading2"/>
      </w:pPr>
      <w:r>
        <w:rPr>
          <w:rFonts w:ascii="Calibri" w:hAnsi="Calibri"/>
        </w:rPr>
        <w:t>Game purpose</w:t>
      </w:r>
    </w:p>
    <w:p>
      <w:r>
        <w:rPr>
          <w:rFonts w:ascii="Calibri" w:hAnsi="Calibri"/>
        </w:rPr>
        <w:t>The game’s learning purpose is to let players practise scientific reasoning inside a short, understandable game loop. Players do not receive a fact sheet and then answer a disconnected quiz. They observe evidence, make a prediction, act on it, and compare the result with their model.</w:t>
      </w:r>
    </w:p>
    <w:p>
      <w:pPr>
        <w:pStyle w:val="Heading2"/>
      </w:pPr>
      <w:r>
        <w:rPr>
          <w:rFonts w:ascii="Calibri" w:hAnsi="Calibri"/>
        </w:rPr>
        <w:t>STEM learning outcomes</w:t>
      </w:r>
    </w:p>
    <w:p>
      <w:r>
        <w:rPr>
          <w:rFonts w:ascii="Calibri" w:hAnsi="Calibri"/>
        </w:rPr>
        <w:t>By the end of a research season, a player should be able to:</w:t>
      </w:r>
    </w:p>
    <w:p>
      <w:pPr>
        <w:pStyle w:val="ListNumber"/>
        <w:numPr>
          <w:ilvl w:val="0"/>
          <w:numId w:val="11"/>
        </w:numPr>
      </w:pPr>
      <w:r>
        <w:rPr>
          <w:rFonts w:ascii="Calibri" w:hAnsi="Calibri"/>
        </w:rPr>
        <w:t>interpret common water-quality measurements as connected environmental evidence;</w:t>
      </w:r>
    </w:p>
    <w:p>
      <w:pPr>
        <w:pStyle w:val="ListNumber"/>
        <w:numPr>
          <w:ilvl w:val="0"/>
          <w:numId w:val="11"/>
        </w:numPr>
      </w:pPr>
      <w:r>
        <w:rPr>
          <w:rFonts w:ascii="Calibri" w:hAnsi="Calibri"/>
        </w:rPr>
        <w:t>explain how fish body shapes and sensory features can suit a habitat;</w:t>
      </w:r>
    </w:p>
    <w:p>
      <w:pPr>
        <w:pStyle w:val="ListNumber"/>
        <w:numPr>
          <w:ilvl w:val="0"/>
          <w:numId w:val="11"/>
        </w:numPr>
      </w:pPr>
      <w:r>
        <w:rPr>
          <w:rFonts w:ascii="Calibri" w:hAnsi="Calibri"/>
        </w:rPr>
        <w:t xml:space="preserve">calculate or compare journey time using </w:t>
      </w:r>
      <w:r>
        <w:rPr>
          <w:rFonts w:ascii="Liberation Mono" w:hAnsi="Liberation Mono"/>
          <w:color w:val="173F49"/>
          <w:sz w:val="20"/>
          <w:shd w:fill="EEF2EE"/>
        </w:rPr>
        <w:t>time = distance ÷ speed</w:t>
      </w:r>
      <w:r>
        <w:rPr>
          <w:rFonts w:ascii="Calibri" w:hAnsi="Calibri"/>
        </w:rPr>
        <w:t>;</w:t>
      </w:r>
    </w:p>
    <w:p>
      <w:pPr>
        <w:pStyle w:val="ListNumber"/>
        <w:numPr>
          <w:ilvl w:val="0"/>
          <w:numId w:val="11"/>
        </w:numPr>
      </w:pPr>
      <w:r>
        <w:rPr>
          <w:rFonts w:ascii="Calibri" w:hAnsi="Calibri"/>
        </w:rPr>
        <w:t>explain a speed–freshness–risk trade-off;</w:t>
      </w:r>
    </w:p>
    <w:p>
      <w:pPr>
        <w:pStyle w:val="ListNumber"/>
        <w:numPr>
          <w:ilvl w:val="0"/>
          <w:numId w:val="11"/>
        </w:numPr>
      </w:pPr>
      <w:r>
        <w:rPr>
          <w:rFonts w:ascii="Calibri" w:hAnsi="Calibri"/>
        </w:rPr>
        <w:t>predict how harvesting, release, protection, and recovery affect populations;</w:t>
      </w:r>
    </w:p>
    <w:p>
      <w:pPr>
        <w:pStyle w:val="ListNumber"/>
        <w:numPr>
          <w:ilvl w:val="0"/>
          <w:numId w:val="11"/>
        </w:numPr>
      </w:pPr>
      <w:r>
        <w:rPr>
          <w:rFonts w:ascii="Calibri" w:hAnsi="Calibri"/>
        </w:rPr>
        <w:t>revise a prediction after receiving evidence-based feedback.</w:t>
      </w:r>
    </w:p>
    <w:p>
      <w:pPr>
        <w:pStyle w:val="Heading2"/>
      </w:pPr>
      <w:r>
        <w:rPr>
          <w:rFonts w:ascii="Calibri" w:hAnsi="Calibri"/>
        </w:rPr>
        <w:t>Learning-to-gameplay alignment</w:t>
      </w:r>
    </w:p>
    <w:tbl>
      <w:tblPr>
        <w:tblStyle w:val="TableGrid"/>
        <w:tblW w:type="dxa" w:w="9360"/>
        <w:jc w:val="left"/>
        <w:tblLayout w:type="fixed"/>
        <w:tblLook w:firstColumn="1" w:firstRow="1" w:lastColumn="0" w:lastRow="0" w:noHBand="0" w:noVBand="1" w:val="04A0"/>
        <w:tblInd w:type="dxa" w:w="120"/>
        <w:tblCellMar>
          <w:top w:type="dxa" w:w="80"/>
          <w:bottom w:type="dxa" w:w="80"/>
          <w:start w:type="dxa" w:w="120"/>
          <w:end w:type="dxa" w:w="120"/>
        </w:tblCellMar>
      </w:tblPr>
      <w:tblGrid>
        <w:gridCol w:w="1601"/>
        <w:gridCol w:w="2752"/>
        <w:gridCol w:w="2752"/>
        <w:gridCol w:w="2255"/>
      </w:tblGrid>
      <w:tr>
        <w:trPr>
          <w:tblHeader w:val="true"/>
          <w:cantSplit/>
        </w:trPr>
        <w:tc>
          <w:tcPr>
            <w:tcW w:type="dxa" w:w="1601"/>
            <w:shd w:fill="0B2630"/>
            <w:vAlign w:val="center"/>
          </w:tcPr>
          <w:p>
            <w:pPr>
              <w:spacing w:after="0" w:line="252" w:lineRule="auto"/>
              <w:jc w:val="left"/>
            </w:pPr>
            <w:r>
              <w:rPr>
                <w:rFonts w:ascii="Calibri" w:hAnsi="Calibri"/>
                <w:b/>
                <w:color w:val="FFFFFF"/>
                <w:sz w:val="17"/>
              </w:rPr>
              <w:t>STEM outcome</w:t>
            </w:r>
          </w:p>
        </w:tc>
        <w:tc>
          <w:tcPr>
            <w:tcW w:type="dxa" w:w="2752"/>
            <w:shd w:fill="0B2630"/>
            <w:vAlign w:val="center"/>
          </w:tcPr>
          <w:p>
            <w:pPr>
              <w:spacing w:after="0" w:line="252" w:lineRule="auto"/>
              <w:jc w:val="center"/>
            </w:pPr>
            <w:r>
              <w:rPr>
                <w:rFonts w:ascii="Calibri" w:hAnsi="Calibri"/>
                <w:b/>
                <w:color w:val="FFFFFF"/>
                <w:sz w:val="17"/>
              </w:rPr>
              <w:t>Gameplay action</w:t>
            </w:r>
          </w:p>
        </w:tc>
        <w:tc>
          <w:tcPr>
            <w:tcW w:type="dxa" w:w="2752"/>
            <w:shd w:fill="0B2630"/>
            <w:vAlign w:val="center"/>
          </w:tcPr>
          <w:p>
            <w:pPr>
              <w:spacing w:after="0" w:line="252" w:lineRule="auto"/>
              <w:jc w:val="left"/>
            </w:pPr>
            <w:r>
              <w:rPr>
                <w:rFonts w:ascii="Calibri" w:hAnsi="Calibri"/>
                <w:b/>
                <w:color w:val="FFFFFF"/>
                <w:sz w:val="17"/>
              </w:rPr>
              <w:t>Immediate feedback</w:t>
            </w:r>
          </w:p>
        </w:tc>
        <w:tc>
          <w:tcPr>
            <w:tcW w:type="dxa" w:w="2255"/>
            <w:shd w:fill="0B2630"/>
            <w:vAlign w:val="center"/>
          </w:tcPr>
          <w:p>
            <w:pPr>
              <w:spacing w:after="0" w:line="252" w:lineRule="auto"/>
              <w:jc w:val="left"/>
            </w:pPr>
            <w:r>
              <w:rPr>
                <w:rFonts w:ascii="Calibri" w:hAnsi="Calibri"/>
                <w:b/>
                <w:color w:val="FFFFFF"/>
                <w:sz w:val="17"/>
              </w:rPr>
              <w:t>Measurable evidence</w:t>
            </w:r>
          </w:p>
        </w:tc>
      </w:tr>
      <w:tr>
        <w:trPr>
          <w:cantSplit/>
        </w:trPr>
        <w:tc>
          <w:tcPr>
            <w:tcW w:type="dxa" w:w="1601"/>
            <w:vAlign w:val="center"/>
          </w:tcPr>
          <w:p>
            <w:pPr>
              <w:spacing w:after="0" w:line="252" w:lineRule="auto"/>
              <w:jc w:val="left"/>
            </w:pPr>
            <w:r>
              <w:rPr>
                <w:rFonts w:ascii="Calibri" w:hAnsi="Calibri"/>
                <w:color w:val="152A31"/>
                <w:sz w:val="17"/>
              </w:rPr>
              <w:t>Interpret water-quality evidence</w:t>
            </w:r>
          </w:p>
        </w:tc>
        <w:tc>
          <w:tcPr>
            <w:tcW w:type="dxa" w:w="2752"/>
            <w:vAlign w:val="center"/>
          </w:tcPr>
          <w:p>
            <w:pPr>
              <w:spacing w:after="0" w:line="252" w:lineRule="auto"/>
              <w:jc w:val="left"/>
            </w:pPr>
            <w:r>
              <w:rPr>
                <w:rFonts w:ascii="Calibri" w:hAnsi="Calibri"/>
                <w:color w:val="152A31"/>
                <w:sz w:val="17"/>
              </w:rPr>
              <w:t>Read depth, temperature, oxygen, turbidity, and habitat at a buoy</w:t>
            </w:r>
          </w:p>
        </w:tc>
        <w:tc>
          <w:tcPr>
            <w:tcW w:type="dxa" w:w="2752"/>
            <w:vAlign w:val="center"/>
          </w:tcPr>
          <w:p>
            <w:pPr>
              <w:spacing w:after="0" w:line="252" w:lineRule="auto"/>
              <w:jc w:val="left"/>
            </w:pPr>
            <w:r>
              <w:rPr>
                <w:rFonts w:ascii="Calibri" w:hAnsi="Calibri"/>
                <w:color w:val="152A31"/>
                <w:sz w:val="17"/>
              </w:rPr>
              <w:t>Written field note links the readings</w:t>
            </w:r>
          </w:p>
        </w:tc>
        <w:tc>
          <w:tcPr>
            <w:tcW w:type="dxa" w:w="2255"/>
            <w:vAlign w:val="center"/>
          </w:tcPr>
          <w:p>
            <w:pPr>
              <w:spacing w:after="0" w:line="252" w:lineRule="auto"/>
              <w:jc w:val="left"/>
            </w:pPr>
            <w:r>
              <w:rPr>
                <w:rFonts w:ascii="Calibri" w:hAnsi="Calibri"/>
                <w:color w:val="152A31"/>
                <w:sz w:val="17"/>
              </w:rPr>
              <w:t>Survey completed; selected prediction stored</w:t>
            </w:r>
          </w:p>
        </w:tc>
      </w:tr>
      <w:tr>
        <w:trPr>
          <w:cantSplit/>
        </w:trPr>
        <w:tc>
          <w:tcPr>
            <w:tcW w:type="dxa" w:w="1601"/>
            <w:vAlign w:val="center"/>
          </w:tcPr>
          <w:p>
            <w:pPr>
              <w:spacing w:after="0" w:line="252" w:lineRule="auto"/>
              <w:jc w:val="left"/>
            </w:pPr>
            <w:r>
              <w:rPr>
                <w:rFonts w:ascii="Calibri" w:hAnsi="Calibri"/>
                <w:color w:val="152A31"/>
                <w:sz w:val="17"/>
              </w:rPr>
              <w:t>Connect adaptation to habitat</w:t>
            </w:r>
          </w:p>
        </w:tc>
        <w:tc>
          <w:tcPr>
            <w:tcW w:type="dxa" w:w="2752"/>
            <w:vAlign w:val="center"/>
          </w:tcPr>
          <w:p>
            <w:pPr>
              <w:spacing w:after="0" w:line="252" w:lineRule="auto"/>
              <w:jc w:val="left"/>
            </w:pPr>
            <w:r>
              <w:rPr>
                <w:rFonts w:ascii="Calibri" w:hAnsi="Calibri"/>
                <w:color w:val="152A31"/>
                <w:sz w:val="17"/>
              </w:rPr>
              <w:t>Choose one contract species from three silhouettes and descriptions</w:t>
            </w:r>
          </w:p>
        </w:tc>
        <w:tc>
          <w:tcPr>
            <w:tcW w:type="dxa" w:w="2752"/>
            <w:vAlign w:val="center"/>
          </w:tcPr>
          <w:p>
            <w:pPr>
              <w:spacing w:after="0" w:line="252" w:lineRule="auto"/>
              <w:jc w:val="left"/>
            </w:pPr>
            <w:r>
              <w:rPr>
                <w:rFonts w:ascii="Calibri" w:hAnsi="Calibri"/>
                <w:color w:val="152A31"/>
                <w:sz w:val="17"/>
              </w:rPr>
              <w:t>Supported/rethink result explains the fish feature</w:t>
            </w:r>
          </w:p>
        </w:tc>
        <w:tc>
          <w:tcPr>
            <w:tcW w:type="dxa" w:w="2255"/>
            <w:vAlign w:val="center"/>
          </w:tcPr>
          <w:p>
            <w:pPr>
              <w:spacing w:after="0" w:line="252" w:lineRule="auto"/>
              <w:jc w:val="left"/>
            </w:pPr>
            <w:r>
              <w:rPr>
                <w:rFonts w:ascii="Calibri" w:hAnsi="Calibri"/>
                <w:color w:val="152A31"/>
                <w:sz w:val="17"/>
              </w:rPr>
              <w:t>Correct predictions and field-guide discovery</w:t>
            </w:r>
          </w:p>
        </w:tc>
      </w:tr>
      <w:tr>
        <w:trPr>
          <w:cantSplit/>
        </w:trPr>
        <w:tc>
          <w:tcPr>
            <w:tcW w:type="dxa" w:w="1601"/>
            <w:vAlign w:val="center"/>
          </w:tcPr>
          <w:p>
            <w:pPr>
              <w:spacing w:after="0" w:line="252" w:lineRule="auto"/>
              <w:jc w:val="left"/>
            </w:pPr>
            <w:r>
              <w:rPr>
                <w:rFonts w:ascii="Calibri" w:hAnsi="Calibri"/>
                <w:color w:val="152A31"/>
                <w:sz w:val="17"/>
              </w:rPr>
              <w:t>Apply distance–speed–time</w:t>
            </w:r>
          </w:p>
        </w:tc>
        <w:tc>
          <w:tcPr>
            <w:tcW w:type="dxa" w:w="2752"/>
            <w:vAlign w:val="center"/>
          </w:tcPr>
          <w:p>
            <w:pPr>
              <w:spacing w:after="0" w:line="252" w:lineRule="auto"/>
              <w:jc w:val="left"/>
            </w:pPr>
            <w:r>
              <w:rPr>
                <w:rFonts w:ascii="Calibri" w:hAnsi="Calibri"/>
                <w:color w:val="152A31"/>
                <w:sz w:val="17"/>
              </w:rPr>
              <w:t>Compare catch-to-harbor route distance and two calculated times</w:t>
            </w:r>
          </w:p>
        </w:tc>
        <w:tc>
          <w:tcPr>
            <w:tcW w:type="dxa" w:w="2752"/>
            <w:vAlign w:val="center"/>
          </w:tcPr>
          <w:p>
            <w:pPr>
              <w:spacing w:after="0" w:line="252" w:lineRule="auto"/>
              <w:jc w:val="left"/>
            </w:pPr>
            <w:r>
              <w:rPr>
                <w:rFonts w:ascii="Calibri" w:hAnsi="Calibri"/>
                <w:color w:val="152A31"/>
                <w:sz w:val="17"/>
              </w:rPr>
              <w:t>Both estimates show the same equation and units</w:t>
            </w:r>
          </w:p>
        </w:tc>
        <w:tc>
          <w:tcPr>
            <w:tcW w:type="dxa" w:w="2255"/>
            <w:vAlign w:val="center"/>
          </w:tcPr>
          <w:p>
            <w:pPr>
              <w:spacing w:after="0" w:line="252" w:lineRule="auto"/>
              <w:jc w:val="left"/>
            </w:pPr>
            <w:r>
              <w:rPr>
                <w:rFonts w:ascii="Calibri" w:hAnsi="Calibri"/>
                <w:color w:val="152A31"/>
                <w:sz w:val="17"/>
              </w:rPr>
              <w:t>Route-plan count; chosen route stored</w:t>
            </w:r>
          </w:p>
        </w:tc>
      </w:tr>
      <w:tr>
        <w:trPr>
          <w:cantSplit/>
        </w:trPr>
        <w:tc>
          <w:tcPr>
            <w:tcW w:type="dxa" w:w="1601"/>
            <w:vAlign w:val="center"/>
          </w:tcPr>
          <w:p>
            <w:pPr>
              <w:spacing w:after="0" w:line="252" w:lineRule="auto"/>
              <w:jc w:val="left"/>
            </w:pPr>
            <w:r>
              <w:rPr>
                <w:rFonts w:ascii="Calibri" w:hAnsi="Calibri"/>
                <w:color w:val="152A31"/>
                <w:sz w:val="17"/>
              </w:rPr>
              <w:t>Evaluate a risk trade-off</w:t>
            </w:r>
          </w:p>
        </w:tc>
        <w:tc>
          <w:tcPr>
            <w:tcW w:type="dxa" w:w="2752"/>
            <w:vAlign w:val="center"/>
          </w:tcPr>
          <w:p>
            <w:pPr>
              <w:spacing w:after="0" w:line="252" w:lineRule="auto"/>
              <w:jc w:val="left"/>
            </w:pPr>
            <w:r>
              <w:rPr>
                <w:rFonts w:ascii="Calibri" w:hAnsi="Calibri"/>
                <w:color w:val="152A31"/>
                <w:sz w:val="17"/>
              </w:rPr>
              <w:t>Choose safer/slower or faster/higher-damage travel</w:t>
            </w:r>
          </w:p>
        </w:tc>
        <w:tc>
          <w:tcPr>
            <w:tcW w:type="dxa" w:w="2752"/>
            <w:vAlign w:val="center"/>
          </w:tcPr>
          <w:p>
            <w:pPr>
              <w:spacing w:after="0" w:line="252" w:lineRule="auto"/>
              <w:jc w:val="left"/>
            </w:pPr>
            <w:r>
              <w:rPr>
                <w:rFonts w:ascii="Calibri" w:hAnsi="Calibri"/>
                <w:color w:val="152A31"/>
                <w:sz w:val="17"/>
              </w:rPr>
              <w:t>Route card and hazard hit report show multipliers</w:t>
            </w:r>
          </w:p>
        </w:tc>
        <w:tc>
          <w:tcPr>
            <w:tcW w:type="dxa" w:w="2255"/>
            <w:vAlign w:val="center"/>
          </w:tcPr>
          <w:p>
            <w:pPr>
              <w:spacing w:after="0" w:line="252" w:lineRule="auto"/>
              <w:jc w:val="left"/>
            </w:pPr>
            <w:r>
              <w:rPr>
                <w:rFonts w:ascii="Calibri" w:hAnsi="Calibri"/>
                <w:color w:val="152A31"/>
                <w:sz w:val="17"/>
              </w:rPr>
              <w:t>Predicted versus actual freshness result</w:t>
            </w:r>
          </w:p>
        </w:tc>
      </w:tr>
      <w:tr>
        <w:trPr>
          <w:cantSplit/>
        </w:trPr>
        <w:tc>
          <w:tcPr>
            <w:tcW w:type="dxa" w:w="1601"/>
            <w:vAlign w:val="center"/>
          </w:tcPr>
          <w:p>
            <w:pPr>
              <w:spacing w:after="0" w:line="252" w:lineRule="auto"/>
              <w:jc w:val="left"/>
            </w:pPr>
            <w:r>
              <w:rPr>
                <w:rFonts w:ascii="Calibri" w:hAnsi="Calibri"/>
                <w:color w:val="152A31"/>
                <w:sz w:val="17"/>
              </w:rPr>
              <w:t>Predict population change</w:t>
            </w:r>
          </w:p>
        </w:tc>
        <w:tc>
          <w:tcPr>
            <w:tcW w:type="dxa" w:w="2752"/>
            <w:vAlign w:val="center"/>
          </w:tcPr>
          <w:p>
            <w:pPr>
              <w:spacing w:after="0" w:line="252" w:lineRule="auto"/>
              <w:jc w:val="left"/>
            </w:pPr>
            <w:r>
              <w:rPr>
                <w:rFonts w:ascii="Calibri" w:hAnsi="Calibri"/>
                <w:color w:val="152A31"/>
                <w:sz w:val="17"/>
              </w:rPr>
              <w:t>Catch, release, revisit, and observe a 0–100 stock index</w:t>
            </w:r>
          </w:p>
        </w:tc>
        <w:tc>
          <w:tcPr>
            <w:tcW w:type="dxa" w:w="2752"/>
            <w:vAlign w:val="center"/>
          </w:tcPr>
          <w:p>
            <w:pPr>
              <w:spacing w:after="0" w:line="252" w:lineRule="auto"/>
              <w:jc w:val="left"/>
            </w:pPr>
            <w:r>
              <w:rPr>
                <w:rFonts w:ascii="Calibri" w:hAnsi="Calibri"/>
                <w:color w:val="152A31"/>
                <w:sz w:val="17"/>
              </w:rPr>
              <w:t>Written percentage and Healthy/Watch/Vulnerable/Protected label</w:t>
            </w:r>
          </w:p>
        </w:tc>
        <w:tc>
          <w:tcPr>
            <w:tcW w:type="dxa" w:w="2255"/>
            <w:vAlign w:val="center"/>
          </w:tcPr>
          <w:p>
            <w:pPr>
              <w:spacing w:after="0" w:line="252" w:lineRule="auto"/>
              <w:jc w:val="left"/>
            </w:pPr>
            <w:r>
              <w:rPr>
                <w:rFonts w:ascii="Calibri" w:hAnsi="Calibri"/>
                <w:color w:val="152A31"/>
                <w:sz w:val="17"/>
              </w:rPr>
              <w:t>Lake-health average and conservation score</w:t>
            </w:r>
          </w:p>
        </w:tc>
      </w:tr>
      <w:tr>
        <w:trPr>
          <w:cantSplit/>
        </w:trPr>
        <w:tc>
          <w:tcPr>
            <w:tcW w:type="dxa" w:w="1601"/>
            <w:vAlign w:val="center"/>
          </w:tcPr>
          <w:p>
            <w:pPr>
              <w:spacing w:after="0" w:line="252" w:lineRule="auto"/>
              <w:jc w:val="left"/>
            </w:pPr>
            <w:r>
              <w:rPr>
                <w:rFonts w:ascii="Calibri" w:hAnsi="Calibri"/>
                <w:color w:val="152A31"/>
                <w:sz w:val="17"/>
              </w:rPr>
              <w:t>Revise a model</w:t>
            </w:r>
          </w:p>
        </w:tc>
        <w:tc>
          <w:tcPr>
            <w:tcW w:type="dxa" w:w="2752"/>
            <w:vAlign w:val="center"/>
          </w:tcPr>
          <w:p>
            <w:pPr>
              <w:spacing w:after="0" w:line="252" w:lineRule="auto"/>
              <w:jc w:val="left"/>
            </w:pPr>
            <w:r>
              <w:rPr>
                <w:rFonts w:ascii="Calibri" w:hAnsi="Calibri"/>
                <w:color w:val="152A31"/>
                <w:sz w:val="17"/>
              </w:rPr>
              <w:t>Read an explanation after any prediction, then fish in that habitat</w:t>
            </w:r>
          </w:p>
        </w:tc>
        <w:tc>
          <w:tcPr>
            <w:tcW w:type="dxa" w:w="2752"/>
            <w:vAlign w:val="center"/>
          </w:tcPr>
          <w:p>
            <w:pPr>
              <w:spacing w:after="0" w:line="252" w:lineRule="auto"/>
              <w:jc w:val="left"/>
            </w:pPr>
            <w:r>
              <w:rPr>
                <w:rFonts w:ascii="Calibri" w:hAnsi="Calibri"/>
                <w:color w:val="152A31"/>
                <w:sz w:val="17"/>
              </w:rPr>
              <w:t>Incorrect answers remain playable and reveal the supported species</w:t>
            </w:r>
          </w:p>
        </w:tc>
        <w:tc>
          <w:tcPr>
            <w:tcW w:type="dxa" w:w="2255"/>
            <w:vAlign w:val="center"/>
          </w:tcPr>
          <w:p>
            <w:pPr>
              <w:spacing w:after="0" w:line="252" w:lineRule="auto"/>
              <w:jc w:val="left"/>
            </w:pPr>
            <w:r>
              <w:rPr>
                <w:rFonts w:ascii="Calibri" w:hAnsi="Calibri"/>
                <w:color w:val="152A31"/>
                <w:sz w:val="17"/>
              </w:rPr>
              <w:t>Accuracy across the eight-delivery season</w:t>
            </w:r>
          </w:p>
        </w:tc>
      </w:tr>
    </w:tbl>
    <w:p>
      <w:pPr>
        <w:spacing w:before="0" w:after="40"/>
      </w:pPr>
    </w:p>
    <w:p>
      <w:pPr>
        <w:pStyle w:val="Heading2"/>
      </w:pPr>
      <w:r>
        <w:rPr>
          <w:rFonts w:ascii="Calibri" w:hAnsi="Calibri"/>
        </w:rPr>
        <w:t>Target audience</w:t>
      </w:r>
    </w:p>
    <w:p>
      <w:r>
        <w:rPr>
          <w:rFonts w:ascii="Calibri" w:hAnsi="Calibri"/>
        </w:rPr>
        <w:t>The primary audience is Year 7–10 students. The secondary audience is casual browser-game players who enjoy collection, upgrading, vehicle movement, and short objectives. A first contract is designed to be understandable without specialist vocabulary: every measurement has a plain-language clue, numerical units remain visible, and feedback explains the relevant adaptation.</w:t>
      </w:r>
    </w:p>
    <w:p>
      <w:pPr>
        <w:pStyle w:val="Heading2"/>
      </w:pPr>
      <w:r>
        <w:rPr>
          <w:rFonts w:ascii="Calibri" w:hAnsi="Calibri"/>
        </w:rPr>
        <w:t>User needs</w:t>
      </w:r>
    </w:p>
    <w:tbl>
      <w:tblPr>
        <w:tblStyle w:val="TableGrid"/>
        <w:tblW w:type="dxa" w:w="9360"/>
        <w:jc w:val="left"/>
        <w:tblLayout w:type="fixed"/>
        <w:tblLook w:firstColumn="1" w:firstRow="1" w:lastColumn="0" w:lastRow="0" w:noHBand="0" w:noVBand="1" w:val="04A0"/>
        <w:tblInd w:type="dxa" w:w="120"/>
        <w:tblCellMar>
          <w:top w:type="dxa" w:w="80"/>
          <w:bottom w:type="dxa" w:w="80"/>
          <w:start w:type="dxa" w:w="120"/>
          <w:end w:type="dxa" w:w="120"/>
        </w:tblCellMar>
      </w:tblPr>
      <w:tblGrid>
        <w:gridCol w:w="3510"/>
        <w:gridCol w:w="5850"/>
      </w:tblGrid>
      <w:tr>
        <w:trPr>
          <w:tblHeader w:val="true"/>
          <w:cantSplit/>
        </w:trPr>
        <w:tc>
          <w:tcPr>
            <w:tcW w:type="dxa" w:w="3510"/>
            <w:shd w:fill="0B2630"/>
            <w:vAlign w:val="center"/>
          </w:tcPr>
          <w:p>
            <w:pPr>
              <w:spacing w:after="0" w:line="252" w:lineRule="auto"/>
              <w:jc w:val="left"/>
            </w:pPr>
            <w:r>
              <w:rPr>
                <w:rFonts w:ascii="Calibri" w:hAnsi="Calibri"/>
                <w:b/>
                <w:color w:val="FFFFFF"/>
                <w:sz w:val="18"/>
              </w:rPr>
              <w:t>User need</w:t>
            </w:r>
          </w:p>
        </w:tc>
        <w:tc>
          <w:tcPr>
            <w:tcW w:type="dxa" w:w="5850"/>
            <w:shd w:fill="0B2630"/>
            <w:vAlign w:val="center"/>
          </w:tcPr>
          <w:p>
            <w:pPr>
              <w:spacing w:after="0" w:line="252" w:lineRule="auto"/>
              <w:jc w:val="center"/>
            </w:pPr>
            <w:r>
              <w:rPr>
                <w:rFonts w:ascii="Calibri" w:hAnsi="Calibri"/>
                <w:b/>
                <w:color w:val="FFFFFF"/>
                <w:sz w:val="18"/>
              </w:rPr>
              <w:t>Design response</w:t>
            </w:r>
          </w:p>
        </w:tc>
      </w:tr>
      <w:tr>
        <w:trPr>
          <w:cantSplit/>
        </w:trPr>
        <w:tc>
          <w:tcPr>
            <w:tcW w:type="dxa" w:w="3510"/>
            <w:vAlign w:val="center"/>
          </w:tcPr>
          <w:p>
            <w:pPr>
              <w:spacing w:after="0" w:line="252" w:lineRule="auto"/>
              <w:jc w:val="left"/>
            </w:pPr>
            <w:r>
              <w:rPr>
                <w:rFonts w:ascii="Calibri" w:hAnsi="Calibri"/>
                <w:color w:val="152A31"/>
                <w:sz w:val="18"/>
              </w:rPr>
              <w:t>Know what to do next</w:t>
            </w:r>
          </w:p>
        </w:tc>
        <w:tc>
          <w:tcPr>
            <w:tcW w:type="dxa" w:w="5850"/>
            <w:vAlign w:val="center"/>
          </w:tcPr>
          <w:p>
            <w:pPr>
              <w:spacing w:after="0" w:line="252" w:lineRule="auto"/>
              <w:jc w:val="left"/>
            </w:pPr>
            <w:r>
              <w:rPr>
                <w:rFonts w:ascii="Calibri" w:hAnsi="Calibri"/>
                <w:color w:val="152A31"/>
                <w:sz w:val="18"/>
              </w:rPr>
              <w:t>One dominant action, contextual prompts, destination arrow, numbered contract steps</w:t>
            </w:r>
          </w:p>
        </w:tc>
      </w:tr>
      <w:tr>
        <w:trPr>
          <w:cantSplit/>
        </w:trPr>
        <w:tc>
          <w:tcPr>
            <w:tcW w:type="dxa" w:w="3510"/>
            <w:vAlign w:val="center"/>
          </w:tcPr>
          <w:p>
            <w:pPr>
              <w:spacing w:after="0" w:line="252" w:lineRule="auto"/>
              <w:jc w:val="left"/>
            </w:pPr>
            <w:r>
              <w:rPr>
                <w:rFonts w:ascii="Calibri" w:hAnsi="Calibri"/>
                <w:color w:val="152A31"/>
                <w:sz w:val="18"/>
              </w:rPr>
              <w:t>Understand why an answer is right</w:t>
            </w:r>
          </w:p>
        </w:tc>
        <w:tc>
          <w:tcPr>
            <w:tcW w:type="dxa" w:w="5850"/>
            <w:vAlign w:val="center"/>
          </w:tcPr>
          <w:p>
            <w:pPr>
              <w:spacing w:after="0" w:line="252" w:lineRule="auto"/>
              <w:jc w:val="left"/>
            </w:pPr>
            <w:r>
              <w:rPr>
                <w:rFonts w:ascii="Calibri" w:hAnsi="Calibri"/>
                <w:color w:val="152A31"/>
                <w:sz w:val="18"/>
              </w:rPr>
              <w:t>Immediate written explanation connecting measurements, habitat, and adaptation</w:t>
            </w:r>
          </w:p>
        </w:tc>
      </w:tr>
      <w:tr>
        <w:trPr>
          <w:cantSplit/>
        </w:trPr>
        <w:tc>
          <w:tcPr>
            <w:tcW w:type="dxa" w:w="3510"/>
            <w:vAlign w:val="center"/>
          </w:tcPr>
          <w:p>
            <w:pPr>
              <w:spacing w:after="0" w:line="252" w:lineRule="auto"/>
              <w:jc w:val="left"/>
            </w:pPr>
            <w:r>
              <w:rPr>
                <w:rFonts w:ascii="Calibri" w:hAnsi="Calibri"/>
                <w:color w:val="152A31"/>
                <w:sz w:val="18"/>
              </w:rPr>
              <w:t>Learn without a punishing quiz</w:t>
            </w:r>
          </w:p>
        </w:tc>
        <w:tc>
          <w:tcPr>
            <w:tcW w:type="dxa" w:w="5850"/>
            <w:vAlign w:val="center"/>
          </w:tcPr>
          <w:p>
            <w:pPr>
              <w:spacing w:after="0" w:line="252" w:lineRule="auto"/>
              <w:jc w:val="left"/>
            </w:pPr>
            <w:r>
              <w:rPr>
                <w:rFonts w:ascii="Calibri" w:hAnsi="Calibri"/>
                <w:color w:val="152A31"/>
                <w:sz w:val="18"/>
              </w:rPr>
              <w:t>Incorrect predictions still reveal evidence and allow play to continue</w:t>
            </w:r>
          </w:p>
        </w:tc>
      </w:tr>
      <w:tr>
        <w:trPr>
          <w:cantSplit/>
        </w:trPr>
        <w:tc>
          <w:tcPr>
            <w:tcW w:type="dxa" w:w="3510"/>
            <w:vAlign w:val="center"/>
          </w:tcPr>
          <w:p>
            <w:pPr>
              <w:spacing w:after="0" w:line="252" w:lineRule="auto"/>
              <w:jc w:val="left"/>
            </w:pPr>
            <w:r>
              <w:rPr>
                <w:rFonts w:ascii="Calibri" w:hAnsi="Calibri"/>
                <w:color w:val="152A31"/>
                <w:sz w:val="18"/>
              </w:rPr>
              <w:t>Recognise fish without colour</w:t>
            </w:r>
          </w:p>
        </w:tc>
        <w:tc>
          <w:tcPr>
            <w:tcW w:type="dxa" w:w="5850"/>
            <w:vAlign w:val="center"/>
          </w:tcPr>
          <w:p>
            <w:pPr>
              <w:spacing w:after="0" w:line="252" w:lineRule="auto"/>
              <w:jc w:val="left"/>
            </w:pPr>
            <w:r>
              <w:rPr>
                <w:rFonts w:ascii="Calibri" w:hAnsi="Calibri"/>
                <w:color w:val="152A31"/>
                <w:sz w:val="18"/>
              </w:rPr>
              <w:t>Distinct silhouettes, shape descriptions, names, and depth tiers</w:t>
            </w:r>
          </w:p>
        </w:tc>
      </w:tr>
      <w:tr>
        <w:trPr>
          <w:cantSplit/>
        </w:trPr>
        <w:tc>
          <w:tcPr>
            <w:tcW w:type="dxa" w:w="3510"/>
            <w:vAlign w:val="center"/>
          </w:tcPr>
          <w:p>
            <w:pPr>
              <w:spacing w:after="0" w:line="252" w:lineRule="auto"/>
              <w:jc w:val="left"/>
            </w:pPr>
            <w:r>
              <w:rPr>
                <w:rFonts w:ascii="Calibri" w:hAnsi="Calibri"/>
                <w:color w:val="152A31"/>
                <w:sz w:val="18"/>
              </w:rPr>
              <w:t>See the consequence of fishing</w:t>
            </w:r>
          </w:p>
        </w:tc>
        <w:tc>
          <w:tcPr>
            <w:tcW w:type="dxa" w:w="5850"/>
            <w:vAlign w:val="center"/>
          </w:tcPr>
          <w:p>
            <w:pPr>
              <w:spacing w:after="0" w:line="252" w:lineRule="auto"/>
              <w:jc w:val="left"/>
            </w:pPr>
            <w:r>
              <w:rPr>
                <w:rFonts w:ascii="Calibri" w:hAnsi="Calibri"/>
                <w:color w:val="152A31"/>
                <w:sz w:val="18"/>
              </w:rPr>
              <w:t>Written population label and percentage at markers, harbor, and field guide</w:t>
            </w:r>
          </w:p>
        </w:tc>
      </w:tr>
      <w:tr>
        <w:trPr>
          <w:cantSplit/>
        </w:trPr>
        <w:tc>
          <w:tcPr>
            <w:tcW w:type="dxa" w:w="3510"/>
            <w:vAlign w:val="center"/>
          </w:tcPr>
          <w:p>
            <w:pPr>
              <w:spacing w:after="0" w:line="252" w:lineRule="auto"/>
              <w:jc w:val="left"/>
            </w:pPr>
            <w:r>
              <w:rPr>
                <w:rFonts w:ascii="Calibri" w:hAnsi="Calibri"/>
                <w:color w:val="152A31"/>
                <w:sz w:val="18"/>
              </w:rPr>
              <w:t>Recover from mistakes</w:t>
            </w:r>
          </w:p>
        </w:tc>
        <w:tc>
          <w:tcPr>
            <w:tcW w:type="dxa" w:w="5850"/>
            <w:vAlign w:val="center"/>
          </w:tcPr>
          <w:p>
            <w:pPr>
              <w:spacing w:after="0" w:line="252" w:lineRule="auto"/>
              <w:jc w:val="left"/>
            </w:pPr>
            <w:r>
              <w:rPr>
                <w:rFonts w:ascii="Calibri" w:hAnsi="Calibri"/>
                <w:color w:val="152A31"/>
                <w:sz w:val="18"/>
              </w:rPr>
              <w:t>Rescue keeps the save, release restores stocks, and contracts remain repeatable</w:t>
            </w:r>
          </w:p>
        </w:tc>
      </w:tr>
      <w:tr>
        <w:trPr>
          <w:cantSplit/>
        </w:trPr>
        <w:tc>
          <w:tcPr>
            <w:tcW w:type="dxa" w:w="3510"/>
            <w:vAlign w:val="center"/>
          </w:tcPr>
          <w:p>
            <w:pPr>
              <w:spacing w:after="0" w:line="252" w:lineRule="auto"/>
              <w:jc w:val="left"/>
            </w:pPr>
            <w:r>
              <w:rPr>
                <w:rFonts w:ascii="Calibri" w:hAnsi="Calibri"/>
                <w:color w:val="152A31"/>
                <w:sz w:val="18"/>
              </w:rPr>
              <w:t>Use different devices or needs</w:t>
            </w:r>
          </w:p>
        </w:tc>
        <w:tc>
          <w:tcPr>
            <w:tcW w:type="dxa" w:w="5850"/>
            <w:vAlign w:val="center"/>
          </w:tcPr>
          <w:p>
            <w:pPr>
              <w:spacing w:after="0" w:line="252" w:lineRule="auto"/>
              <w:jc w:val="left"/>
            </w:pPr>
            <w:r>
              <w:rPr>
                <w:rFonts w:ascii="Calibri" w:hAnsi="Calibri"/>
                <w:color w:val="152A31"/>
                <w:sz w:val="18"/>
              </w:rPr>
              <w:t>Keyboard, pointer, touch, remapping, high contrast, reduced motion, mute</w:t>
            </w:r>
          </w:p>
        </w:tc>
      </w:tr>
    </w:tbl>
    <w:p>
      <w:pPr>
        <w:spacing w:before="0" w:after="40"/>
      </w:pPr>
    </w:p>
    <w:p>
      <w:pPr>
        <w:pStyle w:val="Heading1"/>
      </w:pPr>
      <w:r>
        <w:rPr>
          <w:rFonts w:ascii="Calibri" w:hAnsi="Calibri"/>
        </w:rPr>
        <w:t>3. Research, inspiration, and originality</w:t>
      </w:r>
    </w:p>
    <w:p>
      <w:r>
        <w:rPr>
          <w:rFonts w:ascii="Calibri" w:hAnsi="Calibri"/>
        </w:rPr>
        <w:t xml:space="preserve">I analysed fishing games at the level of general design patterns. The official </w:t>
      </w:r>
      <w:r>
        <w:rPr>
          <w:rFonts w:ascii="Calibri" w:hAnsi="Calibri"/>
          <w:i/>
        </w:rPr>
        <w:t>Cat Goes Fishing</w:t>
      </w:r>
      <w:r>
        <w:rPr>
          <w:rFonts w:ascii="Calibri" w:hAnsi="Calibri"/>
        </w:rPr>
        <w:t xml:space="preserve"> store description demonstrates a clear progression from simple equipment to different fish, quests, boats, deeper water, and a catalogue. FSHING transforms those abstract patterns into a scientific evidence loop: survey water, predict a species, plan a route, manage populations, and evaluate results. </w:t>
      </w:r>
      <w:hyperlink r:id="rId12">
        <w:r>
          <w:rPr>
            <w:color w:val="9D632C"/>
            <w:u w:val="single"/>
          </w:rPr>
          <w:t>Official Steam listing</w:t>
        </w:r>
      </w:hyperlink>
    </w:p>
    <w:p>
      <w:r>
        <w:rPr>
          <w:rFonts w:ascii="Calibri" w:hAnsi="Calibri"/>
        </w:rPr>
        <w:t xml:space="preserve">The project does </w:t>
      </w:r>
      <w:r>
        <w:rPr>
          <w:rFonts w:ascii="Calibri" w:hAnsi="Calibri"/>
          <w:b/>
        </w:rPr>
        <w:t>not</w:t>
      </w:r>
      <w:r>
        <w:rPr>
          <w:rFonts w:ascii="Calibri" w:hAnsi="Calibri"/>
        </w:rPr>
        <w:t xml:space="preserve"> copy another game’s protagonist, title treatment, humour, fish names, silhouettes, art, animations, interface, map, dialogue, prices, balance curve, source code, or data. Every FSHING species, ecosystem, visual prompt, rule, and line of implementation was produced for this project. The original-art record is maintained in </w:t>
      </w:r>
      <w:r>
        <w:rPr>
          <w:rFonts w:ascii="Liberation Mono" w:hAnsi="Liberation Mono"/>
          <w:color w:val="173F49"/>
          <w:sz w:val="20"/>
          <w:shd w:fill="EEF2EE"/>
        </w:rPr>
        <w:t>Docs/Asset-Manifest.md</w:t>
      </w:r>
      <w:r>
        <w:rPr>
          <w:rFonts w:ascii="Calibri" w:hAnsi="Calibri"/>
        </w:rPr>
        <w:t>.</w:t>
      </w:r>
    </w:p>
    <w:p>
      <w:r>
        <w:rPr>
          <w:rFonts w:ascii="Calibri" w:hAnsi="Calibri"/>
        </w:rPr>
        <w:t xml:space="preserve">The Australian Copyright Council distinguishes an abstract idea from its protected expression and also identifies computer programs as protected works. I used a stricter practical boundary: analyse genre patterns, then independently design all expression and implementation. </w:t>
      </w:r>
      <w:hyperlink r:id="rId13">
        <w:r>
          <w:rPr>
            <w:color w:val="9D632C"/>
            <w:u w:val="single"/>
          </w:rPr>
          <w:t>Ideas: Legal Protection</w:t>
        </w:r>
      </w:hyperlink>
      <w:r>
        <w:rPr>
          <w:rFonts w:ascii="Calibri" w:hAnsi="Calibri"/>
        </w:rPr>
        <w:t xml:space="preserve"> · </w:t>
      </w:r>
      <w:hyperlink r:id="rId14">
        <w:r>
          <w:rPr>
            <w:color w:val="9D632C"/>
            <w:u w:val="single"/>
          </w:rPr>
          <w:t>Games &amp; Copyright</w:t>
        </w:r>
      </w:hyperlink>
    </w:p>
    <w:p>
      <w:pPr>
        <w:pStyle w:val="Heading1"/>
      </w:pPr>
      <w:r>
        <w:rPr>
          <w:rFonts w:ascii="Calibri" w:hAnsi="Calibri"/>
        </w:rPr>
        <w:t>4. Gameplay design</w:t>
      </w:r>
    </w:p>
    <w:p>
      <w:pPr>
        <w:pStyle w:val="Heading2"/>
      </w:pPr>
      <w:r>
        <w:rPr>
          <w:rFonts w:ascii="Calibri" w:hAnsi="Calibri"/>
        </w:rPr>
        <w:t>Core loop</w:t>
      </w:r>
    </w:p>
    <w:p>
      <w:pPr>
        <w:spacing w:before="120" w:after="200"/>
        <w:ind w:left="216" w:right="216"/>
        <w:jc w:val="center"/>
        <w:shd w:fill="F8EBD7"/>
      </w:pPr>
      <w:r>
        <w:rPr>
          <w:rFonts w:ascii="Calibri" w:hAnsi="Calibri"/>
          <w:b/>
          <w:color w:val="0B2630"/>
          <w:sz w:val="18"/>
        </w:rPr>
        <w:t>ACCEPT  →  PLAN  →  TRAVEL  →  MEASURE  →  PREDICT  →  EXPLAIN  →  FISH  →  CONSERVE  →  DELIVER  →  EVALUATE  →  UPGRADE</w:t>
      </w:r>
    </w:p>
    <w:p>
      <w:pPr>
        <w:pStyle w:val="Heading2"/>
      </w:pPr>
      <w:r>
        <w:rPr>
          <w:rFonts w:ascii="Calibri" w:hAnsi="Calibri"/>
        </w:rPr>
        <w:t>First-player journey</w:t>
      </w:r>
    </w:p>
    <w:p>
      <w:pPr>
        <w:pStyle w:val="ListNumber"/>
        <w:numPr>
          <w:ilvl w:val="0"/>
          <w:numId w:val="12"/>
        </w:numPr>
      </w:pPr>
      <w:r>
        <w:rPr>
          <w:rFonts w:ascii="Calibri" w:hAnsi="Calibri"/>
        </w:rPr>
        <w:t xml:space="preserve">Press </w:t>
      </w:r>
      <w:r>
        <w:rPr>
          <w:rFonts w:ascii="Calibri" w:hAnsi="Calibri"/>
          <w:b/>
        </w:rPr>
        <w:t>Play</w:t>
      </w:r>
      <w:r>
        <w:rPr>
          <w:rFonts w:ascii="Calibri" w:hAnsi="Calibri"/>
        </w:rPr>
        <w:t xml:space="preserve"> and arrive at Brindle Harbor.</w:t>
      </w:r>
    </w:p>
    <w:p>
      <w:pPr>
        <w:pStyle w:val="ListNumber"/>
        <w:numPr>
          <w:ilvl w:val="0"/>
          <w:numId w:val="12"/>
        </w:numPr>
      </w:pPr>
      <w:r>
        <w:rPr>
          <w:rFonts w:ascii="Calibri" w:hAnsi="Calibri"/>
        </w:rPr>
        <w:t xml:space="preserve">Accept </w:t>
      </w:r>
      <w:r>
        <w:rPr>
          <w:rFonts w:ascii="Calibri" w:hAnsi="Calibri"/>
          <w:b/>
        </w:rPr>
        <w:t>The Morning Order</w:t>
      </w:r>
      <w:r>
        <w:rPr>
          <w:rFonts w:ascii="Calibri" w:hAnsi="Calibri"/>
        </w:rPr>
        <w:t>, which requests a Reedfin for Gloam Ferry.</w:t>
      </w:r>
    </w:p>
    <w:p>
      <w:pPr>
        <w:pStyle w:val="ListNumber"/>
        <w:numPr>
          <w:ilvl w:val="0"/>
          <w:numId w:val="12"/>
        </w:numPr>
      </w:pPr>
      <w:r>
        <w:rPr>
          <w:rFonts w:ascii="Calibri" w:hAnsi="Calibri"/>
        </w:rPr>
        <w:t>Travel to the water-connected Sunward Shoal marker.</w:t>
      </w:r>
    </w:p>
    <w:p>
      <w:pPr>
        <w:pStyle w:val="ListNumber"/>
        <w:numPr>
          <w:ilvl w:val="0"/>
          <w:numId w:val="12"/>
        </w:numPr>
      </w:pPr>
      <w:r>
        <w:rPr>
          <w:rFonts w:ascii="Calibri" w:hAnsi="Calibri"/>
        </w:rPr>
        <w:t>Read: 4 m, 21°C, 8.4 mg/L dissolved oxygen, low turbidity, sunlit reeds.</w:t>
      </w:r>
    </w:p>
    <w:p>
      <w:pPr>
        <w:pStyle w:val="ListNumber"/>
        <w:numPr>
          <w:ilvl w:val="0"/>
          <w:numId w:val="12"/>
        </w:numPr>
      </w:pPr>
      <w:r>
        <w:rPr>
          <w:rFonts w:ascii="Calibri" w:hAnsi="Calibri"/>
        </w:rPr>
        <w:t>Predict the Reedfin from three species descriptions.</w:t>
      </w:r>
    </w:p>
    <w:p>
      <w:pPr>
        <w:pStyle w:val="ListNumber"/>
        <w:numPr>
          <w:ilvl w:val="0"/>
          <w:numId w:val="12"/>
        </w:numPr>
      </w:pPr>
      <w:r>
        <w:rPr>
          <w:rFonts w:ascii="Calibri" w:hAnsi="Calibri"/>
        </w:rPr>
        <w:t>Read why broad fins help it manoeuvre in reeds, then lower the hook.</w:t>
      </w:r>
    </w:p>
    <w:p>
      <w:pPr>
        <w:pStyle w:val="ListNumber"/>
        <w:numPr>
          <w:ilvl w:val="0"/>
          <w:numId w:val="12"/>
        </w:numPr>
      </w:pPr>
      <w:r>
        <w:rPr>
          <w:rFonts w:ascii="Calibri" w:hAnsi="Calibri"/>
        </w:rPr>
        <w:t>Catch the Reedfin. Its population changes from 100 to 93 and freshness begins at 100%.</w:t>
      </w:r>
    </w:p>
    <w:p>
      <w:pPr>
        <w:pStyle w:val="ListNumber"/>
        <w:numPr>
          <w:ilvl w:val="0"/>
          <w:numId w:val="12"/>
        </w:numPr>
      </w:pPr>
      <w:r>
        <w:rPr>
          <w:rFonts w:ascii="Calibri" w:hAnsi="Calibri"/>
        </w:rPr>
        <w:t>Compare two routes from the catch site to Gloam Ferry. The screen displays distance, estimated minutes, predicted freshness, and hazard multiplier.</w:t>
      </w:r>
    </w:p>
    <w:p>
      <w:pPr>
        <w:pStyle w:val="ListNumber"/>
        <w:numPr>
          <w:ilvl w:val="0"/>
          <w:numId w:val="12"/>
        </w:numPr>
      </w:pPr>
      <w:r>
        <w:rPr>
          <w:rFonts w:ascii="Calibri" w:hAnsi="Calibri"/>
        </w:rPr>
        <w:t>Select a route and cross the lake, using visible yellow hazard signs and braking when needed.</w:t>
      </w:r>
    </w:p>
    <w:p>
      <w:pPr>
        <w:pStyle w:val="ListNumber"/>
        <w:numPr>
          <w:ilvl w:val="0"/>
          <w:numId w:val="12"/>
        </w:numPr>
      </w:pPr>
      <w:r>
        <w:rPr>
          <w:rFonts w:ascii="Calibri" w:hAnsi="Calibri"/>
        </w:rPr>
        <w:t>Dock, deliver, and compare the catch-to-harbor prediction with actual freshness.</w:t>
      </w:r>
    </w:p>
    <w:p>
      <w:pPr>
        <w:pStyle w:val="ListNumber"/>
        <w:numPr>
          <w:ilvl w:val="0"/>
          <w:numId w:val="12"/>
        </w:numPr>
      </w:pPr>
      <w:r>
        <w:rPr>
          <w:rFonts w:ascii="Calibri" w:hAnsi="Calibri"/>
        </w:rPr>
        <w:t>Spend the reward on a larger boat, engine, lamp, or line depth.</w:t>
      </w:r>
    </w:p>
    <w:p>
      <w:pPr>
        <w:pStyle w:val="ListNumber"/>
        <w:numPr>
          <w:ilvl w:val="0"/>
          <w:numId w:val="12"/>
        </w:numPr>
      </w:pPr>
      <w:r>
        <w:rPr>
          <w:rFonts w:ascii="Calibri" w:hAnsi="Calibri"/>
        </w:rPr>
        <w:t>Open the field guide to review the confirmed species and lake-health data.</w:t>
      </w:r>
    </w:p>
    <w:p>
      <w:pPr>
        <w:pStyle w:val="Heading2"/>
      </w:pPr>
      <w:r>
        <w:rPr>
          <w:rFonts w:ascii="Calibri" w:hAnsi="Calibri"/>
        </w:rPr>
        <w:t>World and scientific progression</w:t>
      </w:r>
    </w:p>
    <w:tbl>
      <w:tblPr>
        <w:tblStyle w:val="TableGrid"/>
        <w:tblW w:type="dxa" w:w="9360"/>
        <w:jc w:val="left"/>
        <w:tblLayout w:type="fixed"/>
        <w:tblLook w:firstColumn="1" w:firstRow="1" w:lastColumn="0" w:lastRow="0" w:noHBand="0" w:noVBand="1" w:val="04A0"/>
        <w:tblInd w:type="dxa" w:w="120"/>
        <w:tblCellMar>
          <w:top w:type="dxa" w:w="80"/>
          <w:bottom w:type="dxa" w:w="80"/>
          <w:start w:type="dxa" w:w="120"/>
          <w:end w:type="dxa" w:w="120"/>
        </w:tblCellMar>
      </w:tblPr>
      <w:tblGrid>
        <w:gridCol w:w="1337"/>
        <w:gridCol w:w="1179"/>
        <w:gridCol w:w="3067"/>
        <w:gridCol w:w="2752"/>
        <w:gridCol w:w="1025"/>
      </w:tblGrid>
      <w:tr>
        <w:trPr>
          <w:tblHeader w:val="true"/>
          <w:cantSplit/>
        </w:trPr>
        <w:tc>
          <w:tcPr>
            <w:tcW w:type="dxa" w:w="1337"/>
            <w:shd w:fill="0B2630"/>
            <w:vAlign w:val="center"/>
          </w:tcPr>
          <w:p>
            <w:pPr>
              <w:spacing w:after="0" w:line="252" w:lineRule="auto"/>
              <w:jc w:val="left"/>
            </w:pPr>
            <w:r>
              <w:rPr>
                <w:rFonts w:ascii="Calibri" w:hAnsi="Calibri"/>
                <w:b/>
                <w:color w:val="FFFFFF"/>
                <w:sz w:val="17"/>
              </w:rPr>
              <w:t>Site</w:t>
            </w:r>
          </w:p>
        </w:tc>
        <w:tc>
          <w:tcPr>
            <w:tcW w:type="dxa" w:w="1179"/>
            <w:shd w:fill="0B2630"/>
            <w:vAlign w:val="center"/>
          </w:tcPr>
          <w:p>
            <w:pPr>
              <w:spacing w:after="0" w:line="252" w:lineRule="auto"/>
              <w:jc w:val="center"/>
            </w:pPr>
            <w:r>
              <w:rPr>
                <w:rFonts w:ascii="Calibri" w:hAnsi="Calibri"/>
                <w:b/>
                <w:color w:val="FFFFFF"/>
                <w:sz w:val="17"/>
              </w:rPr>
              <w:t>Region</w:t>
            </w:r>
          </w:p>
        </w:tc>
        <w:tc>
          <w:tcPr>
            <w:tcW w:type="dxa" w:w="3067"/>
            <w:shd w:fill="0B2630"/>
            <w:vAlign w:val="center"/>
          </w:tcPr>
          <w:p>
            <w:pPr>
              <w:spacing w:after="0" w:line="252" w:lineRule="auto"/>
              <w:jc w:val="center"/>
            </w:pPr>
            <w:r>
              <w:rPr>
                <w:rFonts w:ascii="Calibri" w:hAnsi="Calibri"/>
                <w:b/>
                <w:color w:val="FFFFFF"/>
                <w:sz w:val="17"/>
              </w:rPr>
              <w:t>Readings</w:t>
            </w:r>
          </w:p>
        </w:tc>
        <w:tc>
          <w:tcPr>
            <w:tcW w:type="dxa" w:w="2752"/>
            <w:shd w:fill="0B2630"/>
            <w:vAlign w:val="center"/>
          </w:tcPr>
          <w:p>
            <w:pPr>
              <w:spacing w:after="0" w:line="252" w:lineRule="auto"/>
              <w:jc w:val="center"/>
            </w:pPr>
            <w:r>
              <w:rPr>
                <w:rFonts w:ascii="Calibri" w:hAnsi="Calibri"/>
                <w:b/>
                <w:color w:val="FFFFFF"/>
                <w:sz w:val="17"/>
              </w:rPr>
              <w:t>Habitat residents</w:t>
            </w:r>
          </w:p>
        </w:tc>
        <w:tc>
          <w:tcPr>
            <w:tcW w:type="dxa" w:w="1025"/>
            <w:shd w:fill="0B2630"/>
            <w:vAlign w:val="center"/>
          </w:tcPr>
          <w:p>
            <w:pPr>
              <w:spacing w:after="0" w:line="252" w:lineRule="auto"/>
              <w:jc w:val="center"/>
            </w:pPr>
            <w:r>
              <w:rPr>
                <w:rFonts w:ascii="Calibri" w:hAnsi="Calibri"/>
                <w:b/>
                <w:color w:val="FFFFFF"/>
                <w:sz w:val="17"/>
              </w:rPr>
              <w:t>Required line</w:t>
            </w:r>
          </w:p>
        </w:tc>
      </w:tr>
      <w:tr>
        <w:trPr>
          <w:cantSplit/>
        </w:trPr>
        <w:tc>
          <w:tcPr>
            <w:tcW w:type="dxa" w:w="1337"/>
            <w:vAlign w:val="center"/>
          </w:tcPr>
          <w:p>
            <w:pPr>
              <w:spacing w:after="0" w:line="252" w:lineRule="auto"/>
              <w:jc w:val="left"/>
            </w:pPr>
            <w:r>
              <w:rPr>
                <w:rFonts w:ascii="Calibri" w:hAnsi="Calibri"/>
                <w:color w:val="152A31"/>
                <w:sz w:val="17"/>
              </w:rPr>
              <w:t>Sunward Shoal</w:t>
            </w:r>
          </w:p>
        </w:tc>
        <w:tc>
          <w:tcPr>
            <w:tcW w:type="dxa" w:w="1179"/>
            <w:vAlign w:val="center"/>
          </w:tcPr>
          <w:p>
            <w:pPr>
              <w:spacing w:after="0" w:line="252" w:lineRule="auto"/>
              <w:jc w:val="center"/>
            </w:pPr>
            <w:r>
              <w:rPr>
                <w:rFonts w:ascii="Calibri" w:hAnsi="Calibri"/>
                <w:color w:val="152A31"/>
                <w:sz w:val="17"/>
              </w:rPr>
              <w:t>Brindle Coast</w:t>
            </w:r>
          </w:p>
        </w:tc>
        <w:tc>
          <w:tcPr>
            <w:tcW w:type="dxa" w:w="3067"/>
            <w:vAlign w:val="center"/>
          </w:tcPr>
          <w:p>
            <w:pPr>
              <w:spacing w:after="0" w:line="252" w:lineRule="auto"/>
              <w:jc w:val="left"/>
            </w:pPr>
            <w:r>
              <w:rPr>
                <w:rFonts w:ascii="Calibri" w:hAnsi="Calibri"/>
                <w:color w:val="152A31"/>
                <w:sz w:val="17"/>
              </w:rPr>
              <w:t>4 m, 21°C, 8.4 mg/L, clear reeds</w:t>
            </w:r>
          </w:p>
        </w:tc>
        <w:tc>
          <w:tcPr>
            <w:tcW w:type="dxa" w:w="2752"/>
            <w:vAlign w:val="center"/>
          </w:tcPr>
          <w:p>
            <w:pPr>
              <w:spacing w:after="0" w:line="252" w:lineRule="auto"/>
              <w:jc w:val="left"/>
            </w:pPr>
            <w:r>
              <w:rPr>
                <w:rFonts w:ascii="Calibri" w:hAnsi="Calibri"/>
                <w:color w:val="152A31"/>
                <w:sz w:val="17"/>
              </w:rPr>
              <w:t>Reedfin, Sun Perch, Silver Dart</w:t>
            </w:r>
          </w:p>
        </w:tc>
        <w:tc>
          <w:tcPr>
            <w:tcW w:type="dxa" w:w="1025"/>
            <w:vAlign w:val="center"/>
          </w:tcPr>
          <w:p>
            <w:pPr>
              <w:spacing w:after="0" w:line="252" w:lineRule="auto"/>
              <w:jc w:val="center"/>
            </w:pPr>
            <w:r>
              <w:rPr>
                <w:rFonts w:ascii="Calibri" w:hAnsi="Calibri"/>
                <w:color w:val="152A31"/>
                <w:sz w:val="17"/>
              </w:rPr>
              <w:t>T0</w:t>
            </w:r>
          </w:p>
        </w:tc>
      </w:tr>
      <w:tr>
        <w:trPr>
          <w:cantSplit/>
        </w:trPr>
        <w:tc>
          <w:tcPr>
            <w:tcW w:type="dxa" w:w="1337"/>
            <w:vAlign w:val="center"/>
          </w:tcPr>
          <w:p>
            <w:pPr>
              <w:spacing w:after="0" w:line="252" w:lineRule="auto"/>
              <w:jc w:val="left"/>
            </w:pPr>
            <w:r>
              <w:rPr>
                <w:rFonts w:ascii="Calibri" w:hAnsi="Calibri"/>
                <w:color w:val="152A31"/>
                <w:sz w:val="17"/>
              </w:rPr>
              <w:t>Silver Bay</w:t>
            </w:r>
          </w:p>
        </w:tc>
        <w:tc>
          <w:tcPr>
            <w:tcW w:type="dxa" w:w="1179"/>
            <w:vAlign w:val="center"/>
          </w:tcPr>
          <w:p>
            <w:pPr>
              <w:spacing w:after="0" w:line="252" w:lineRule="auto"/>
              <w:jc w:val="center"/>
            </w:pPr>
            <w:r>
              <w:rPr>
                <w:rFonts w:ascii="Calibri" w:hAnsi="Calibri"/>
                <w:color w:val="152A31"/>
                <w:sz w:val="17"/>
              </w:rPr>
              <w:t>Brindle Coast</w:t>
            </w:r>
          </w:p>
        </w:tc>
        <w:tc>
          <w:tcPr>
            <w:tcW w:type="dxa" w:w="3067"/>
            <w:vAlign w:val="center"/>
          </w:tcPr>
          <w:p>
            <w:pPr>
              <w:spacing w:after="0" w:line="252" w:lineRule="auto"/>
              <w:jc w:val="left"/>
            </w:pPr>
            <w:r>
              <w:rPr>
                <w:rFonts w:ascii="Calibri" w:hAnsi="Calibri"/>
                <w:color w:val="152A31"/>
                <w:sz w:val="17"/>
              </w:rPr>
              <w:t>7 m, 18°C, 8.0 mg/L, gravel shelf</w:t>
            </w:r>
          </w:p>
        </w:tc>
        <w:tc>
          <w:tcPr>
            <w:tcW w:type="dxa" w:w="2752"/>
            <w:vAlign w:val="center"/>
          </w:tcPr>
          <w:p>
            <w:pPr>
              <w:spacing w:after="0" w:line="252" w:lineRule="auto"/>
              <w:jc w:val="left"/>
            </w:pPr>
            <w:r>
              <w:rPr>
                <w:rFonts w:ascii="Calibri" w:hAnsi="Calibri"/>
                <w:color w:val="152A31"/>
                <w:sz w:val="17"/>
              </w:rPr>
              <w:t>Silver Dart, Sun Perch, Needle Pike</w:t>
            </w:r>
          </w:p>
        </w:tc>
        <w:tc>
          <w:tcPr>
            <w:tcW w:type="dxa" w:w="1025"/>
            <w:vAlign w:val="center"/>
          </w:tcPr>
          <w:p>
            <w:pPr>
              <w:spacing w:after="0" w:line="252" w:lineRule="auto"/>
              <w:jc w:val="center"/>
            </w:pPr>
            <w:r>
              <w:rPr>
                <w:rFonts w:ascii="Calibri" w:hAnsi="Calibri"/>
                <w:color w:val="152A31"/>
                <w:sz w:val="17"/>
              </w:rPr>
              <w:t>T0</w:t>
            </w:r>
          </w:p>
        </w:tc>
      </w:tr>
      <w:tr>
        <w:trPr>
          <w:cantSplit/>
        </w:trPr>
        <w:tc>
          <w:tcPr>
            <w:tcW w:type="dxa" w:w="1337"/>
            <w:vAlign w:val="center"/>
          </w:tcPr>
          <w:p>
            <w:pPr>
              <w:spacing w:after="0" w:line="252" w:lineRule="auto"/>
              <w:jc w:val="left"/>
            </w:pPr>
            <w:r>
              <w:rPr>
                <w:rFonts w:ascii="Calibri" w:hAnsi="Calibri"/>
                <w:color w:val="152A31"/>
                <w:sz w:val="17"/>
              </w:rPr>
              <w:t>Needle Run</w:t>
            </w:r>
          </w:p>
        </w:tc>
        <w:tc>
          <w:tcPr>
            <w:tcW w:type="dxa" w:w="1179"/>
            <w:vAlign w:val="center"/>
          </w:tcPr>
          <w:p>
            <w:pPr>
              <w:spacing w:after="0" w:line="252" w:lineRule="auto"/>
              <w:jc w:val="center"/>
            </w:pPr>
            <w:r>
              <w:rPr>
                <w:rFonts w:ascii="Calibri" w:hAnsi="Calibri"/>
                <w:color w:val="152A31"/>
                <w:sz w:val="17"/>
              </w:rPr>
              <w:t>Mosswater Reach</w:t>
            </w:r>
          </w:p>
        </w:tc>
        <w:tc>
          <w:tcPr>
            <w:tcW w:type="dxa" w:w="3067"/>
            <w:vAlign w:val="center"/>
          </w:tcPr>
          <w:p>
            <w:pPr>
              <w:spacing w:after="0" w:line="252" w:lineRule="auto"/>
              <w:jc w:val="left"/>
            </w:pPr>
            <w:r>
              <w:rPr>
                <w:rFonts w:ascii="Calibri" w:hAnsi="Calibri"/>
                <w:color w:val="152A31"/>
                <w:sz w:val="17"/>
              </w:rPr>
              <w:t>13 m, 15°C, 7.2 mg/L, current channel</w:t>
            </w:r>
          </w:p>
        </w:tc>
        <w:tc>
          <w:tcPr>
            <w:tcW w:type="dxa" w:w="2752"/>
            <w:vAlign w:val="center"/>
          </w:tcPr>
          <w:p>
            <w:pPr>
              <w:spacing w:after="0" w:line="252" w:lineRule="auto"/>
              <w:jc w:val="left"/>
            </w:pPr>
            <w:r>
              <w:rPr>
                <w:rFonts w:ascii="Calibri" w:hAnsi="Calibri"/>
                <w:color w:val="152A31"/>
                <w:sz w:val="17"/>
              </w:rPr>
              <w:t>Needle Pike, Silver Dart, Mossback</w:t>
            </w:r>
          </w:p>
        </w:tc>
        <w:tc>
          <w:tcPr>
            <w:tcW w:type="dxa" w:w="1025"/>
            <w:vAlign w:val="center"/>
          </w:tcPr>
          <w:p>
            <w:pPr>
              <w:spacing w:after="0" w:line="252" w:lineRule="auto"/>
              <w:jc w:val="center"/>
            </w:pPr>
            <w:r>
              <w:rPr>
                <w:rFonts w:ascii="Calibri" w:hAnsi="Calibri"/>
                <w:color w:val="152A31"/>
                <w:sz w:val="17"/>
              </w:rPr>
              <w:t>T1</w:t>
            </w:r>
          </w:p>
        </w:tc>
      </w:tr>
      <w:tr>
        <w:trPr>
          <w:cantSplit/>
        </w:trPr>
        <w:tc>
          <w:tcPr>
            <w:tcW w:type="dxa" w:w="1337"/>
            <w:vAlign w:val="center"/>
          </w:tcPr>
          <w:p>
            <w:pPr>
              <w:spacing w:after="0" w:line="252" w:lineRule="auto"/>
              <w:jc w:val="left"/>
            </w:pPr>
            <w:r>
              <w:rPr>
                <w:rFonts w:ascii="Calibri" w:hAnsi="Calibri"/>
                <w:color w:val="152A31"/>
                <w:sz w:val="17"/>
              </w:rPr>
              <w:t>Mosswater Pool</w:t>
            </w:r>
          </w:p>
        </w:tc>
        <w:tc>
          <w:tcPr>
            <w:tcW w:type="dxa" w:w="1179"/>
            <w:vAlign w:val="center"/>
          </w:tcPr>
          <w:p>
            <w:pPr>
              <w:spacing w:after="0" w:line="252" w:lineRule="auto"/>
              <w:jc w:val="center"/>
            </w:pPr>
            <w:r>
              <w:rPr>
                <w:rFonts w:ascii="Calibri" w:hAnsi="Calibri"/>
                <w:color w:val="152A31"/>
                <w:sz w:val="17"/>
              </w:rPr>
              <w:t>Mosswater Reach</w:t>
            </w:r>
          </w:p>
        </w:tc>
        <w:tc>
          <w:tcPr>
            <w:tcW w:type="dxa" w:w="3067"/>
            <w:vAlign w:val="center"/>
          </w:tcPr>
          <w:p>
            <w:pPr>
              <w:spacing w:after="0" w:line="252" w:lineRule="auto"/>
              <w:jc w:val="left"/>
            </w:pPr>
            <w:r>
              <w:rPr>
                <w:rFonts w:ascii="Calibri" w:hAnsi="Calibri"/>
                <w:color w:val="152A31"/>
                <w:sz w:val="17"/>
              </w:rPr>
              <w:t>20 m, 12°C, 6.4 mg/L, vegetation/debris</w:t>
            </w:r>
          </w:p>
        </w:tc>
        <w:tc>
          <w:tcPr>
            <w:tcW w:type="dxa" w:w="2752"/>
            <w:vAlign w:val="center"/>
          </w:tcPr>
          <w:p>
            <w:pPr>
              <w:spacing w:after="0" w:line="252" w:lineRule="auto"/>
              <w:jc w:val="left"/>
            </w:pPr>
            <w:r>
              <w:rPr>
                <w:rFonts w:ascii="Calibri" w:hAnsi="Calibri"/>
                <w:color w:val="152A31"/>
                <w:sz w:val="17"/>
              </w:rPr>
              <w:t>Mossback, Lantern Eel, Needle Pike</w:t>
            </w:r>
          </w:p>
        </w:tc>
        <w:tc>
          <w:tcPr>
            <w:tcW w:type="dxa" w:w="1025"/>
            <w:vAlign w:val="center"/>
          </w:tcPr>
          <w:p>
            <w:pPr>
              <w:spacing w:after="0" w:line="252" w:lineRule="auto"/>
              <w:jc w:val="center"/>
            </w:pPr>
            <w:r>
              <w:rPr>
                <w:rFonts w:ascii="Calibri" w:hAnsi="Calibri"/>
                <w:color w:val="152A31"/>
                <w:sz w:val="17"/>
              </w:rPr>
              <w:t>T2</w:t>
            </w:r>
          </w:p>
        </w:tc>
      </w:tr>
      <w:tr>
        <w:trPr>
          <w:cantSplit/>
        </w:trPr>
        <w:tc>
          <w:tcPr>
            <w:tcW w:type="dxa" w:w="1337"/>
            <w:vAlign w:val="center"/>
          </w:tcPr>
          <w:p>
            <w:pPr>
              <w:spacing w:after="0" w:line="252" w:lineRule="auto"/>
              <w:jc w:val="left"/>
            </w:pPr>
            <w:r>
              <w:rPr>
                <w:rFonts w:ascii="Calibri" w:hAnsi="Calibri"/>
                <w:color w:val="152A31"/>
                <w:sz w:val="17"/>
              </w:rPr>
              <w:t>Outer Gloam</w:t>
            </w:r>
          </w:p>
        </w:tc>
        <w:tc>
          <w:tcPr>
            <w:tcW w:type="dxa" w:w="1179"/>
            <w:vAlign w:val="center"/>
          </w:tcPr>
          <w:p>
            <w:pPr>
              <w:spacing w:after="0" w:line="252" w:lineRule="auto"/>
              <w:jc w:val="center"/>
            </w:pPr>
            <w:r>
              <w:rPr>
                <w:rFonts w:ascii="Calibri" w:hAnsi="Calibri"/>
                <w:color w:val="152A31"/>
                <w:sz w:val="17"/>
              </w:rPr>
              <w:t>Violet Gloam</w:t>
            </w:r>
          </w:p>
        </w:tc>
        <w:tc>
          <w:tcPr>
            <w:tcW w:type="dxa" w:w="3067"/>
            <w:vAlign w:val="center"/>
          </w:tcPr>
          <w:p>
            <w:pPr>
              <w:spacing w:after="0" w:line="252" w:lineRule="auto"/>
              <w:jc w:val="left"/>
            </w:pPr>
            <w:r>
              <w:rPr>
                <w:rFonts w:ascii="Calibri" w:hAnsi="Calibri"/>
                <w:color w:val="152A31"/>
                <w:sz w:val="17"/>
              </w:rPr>
              <w:t>31 m, 8°C, 5.5 mg/L, rocky drop-off</w:t>
            </w:r>
          </w:p>
        </w:tc>
        <w:tc>
          <w:tcPr>
            <w:tcW w:type="dxa" w:w="2752"/>
            <w:vAlign w:val="center"/>
          </w:tcPr>
          <w:p>
            <w:pPr>
              <w:spacing w:after="0" w:line="252" w:lineRule="auto"/>
              <w:jc w:val="left"/>
            </w:pPr>
            <w:r>
              <w:rPr>
                <w:rFonts w:ascii="Calibri" w:hAnsi="Calibri"/>
                <w:color w:val="152A31"/>
                <w:sz w:val="17"/>
              </w:rPr>
              <w:t>Gloam Gill, Violet Ray, Lantern Eel</w:t>
            </w:r>
          </w:p>
        </w:tc>
        <w:tc>
          <w:tcPr>
            <w:tcW w:type="dxa" w:w="1025"/>
            <w:vAlign w:val="center"/>
          </w:tcPr>
          <w:p>
            <w:pPr>
              <w:spacing w:after="0" w:line="252" w:lineRule="auto"/>
              <w:jc w:val="center"/>
            </w:pPr>
            <w:r>
              <w:rPr>
                <w:rFonts w:ascii="Calibri" w:hAnsi="Calibri"/>
                <w:color w:val="152A31"/>
                <w:sz w:val="17"/>
              </w:rPr>
              <w:t>T3 + permit</w:t>
            </w:r>
          </w:p>
        </w:tc>
      </w:tr>
      <w:tr>
        <w:trPr>
          <w:cantSplit/>
        </w:trPr>
        <w:tc>
          <w:tcPr>
            <w:tcW w:type="dxa" w:w="1337"/>
            <w:vAlign w:val="center"/>
          </w:tcPr>
          <w:p>
            <w:pPr>
              <w:spacing w:after="0" w:line="252" w:lineRule="auto"/>
              <w:jc w:val="left"/>
            </w:pPr>
            <w:r>
              <w:rPr>
                <w:rFonts w:ascii="Calibri" w:hAnsi="Calibri"/>
                <w:color w:val="152A31"/>
                <w:sz w:val="17"/>
              </w:rPr>
              <w:t>Blackwater Trench</w:t>
            </w:r>
          </w:p>
        </w:tc>
        <w:tc>
          <w:tcPr>
            <w:tcW w:type="dxa" w:w="1179"/>
            <w:vAlign w:val="center"/>
          </w:tcPr>
          <w:p>
            <w:pPr>
              <w:spacing w:after="0" w:line="252" w:lineRule="auto"/>
              <w:jc w:val="center"/>
            </w:pPr>
            <w:r>
              <w:rPr>
                <w:rFonts w:ascii="Calibri" w:hAnsi="Calibri"/>
                <w:color w:val="152A31"/>
                <w:sz w:val="17"/>
              </w:rPr>
              <w:t>Violet Gloam</w:t>
            </w:r>
          </w:p>
        </w:tc>
        <w:tc>
          <w:tcPr>
            <w:tcW w:type="dxa" w:w="3067"/>
            <w:vAlign w:val="center"/>
          </w:tcPr>
          <w:p>
            <w:pPr>
              <w:spacing w:after="0" w:line="252" w:lineRule="auto"/>
              <w:jc w:val="left"/>
            </w:pPr>
            <w:r>
              <w:rPr>
                <w:rFonts w:ascii="Calibri" w:hAnsi="Calibri"/>
                <w:color w:val="152A31"/>
                <w:sz w:val="17"/>
              </w:rPr>
              <w:t>46 m, 5°C, 4.6 mg/L, lightless trench</w:t>
            </w:r>
          </w:p>
        </w:tc>
        <w:tc>
          <w:tcPr>
            <w:tcW w:type="dxa" w:w="2752"/>
            <w:vAlign w:val="center"/>
          </w:tcPr>
          <w:p>
            <w:pPr>
              <w:spacing w:after="0" w:line="252" w:lineRule="auto"/>
              <w:jc w:val="left"/>
            </w:pPr>
            <w:r>
              <w:rPr>
                <w:rFonts w:ascii="Calibri" w:hAnsi="Calibri"/>
                <w:color w:val="152A31"/>
                <w:sz w:val="17"/>
              </w:rPr>
              <w:t>Abyss Crown, Violet Ray, Gloam Gill</w:t>
            </w:r>
          </w:p>
        </w:tc>
        <w:tc>
          <w:tcPr>
            <w:tcW w:type="dxa" w:w="1025"/>
            <w:vAlign w:val="center"/>
          </w:tcPr>
          <w:p>
            <w:pPr>
              <w:spacing w:after="0" w:line="252" w:lineRule="auto"/>
              <w:jc w:val="center"/>
            </w:pPr>
            <w:r>
              <w:rPr>
                <w:rFonts w:ascii="Calibri" w:hAnsi="Calibri"/>
                <w:color w:val="152A31"/>
                <w:sz w:val="17"/>
              </w:rPr>
              <w:t>T5 + permit</w:t>
            </w:r>
          </w:p>
        </w:tc>
      </w:tr>
    </w:tbl>
    <w:p>
      <w:pPr>
        <w:spacing w:before="0" w:after="40"/>
      </w:pPr>
    </w:p>
    <w:p>
      <w:r>
        <w:rPr>
          <w:rFonts w:ascii="Calibri" w:hAnsi="Calibri"/>
        </w:rPr>
        <w:t>Each fishing view contains two individuals from each of its three documented residents. A later contract can request any resident of its assigned site; the survey then evaluates that contract target instead of silently reverting to the site's primary species.</w:t>
      </w:r>
    </w:p>
    <w:p>
      <w:pPr>
        <w:pStyle w:val="Heading2"/>
      </w:pPr>
      <w:r>
        <w:rPr>
          <w:rFonts w:ascii="Calibri" w:hAnsi="Calibri"/>
        </w:rPr>
        <w:t>Progression and upgrades</w:t>
      </w:r>
    </w:p>
    <w:tbl>
      <w:tblPr>
        <w:tblStyle w:val="TableGrid"/>
        <w:tblW w:type="dxa" w:w="9360"/>
        <w:jc w:val="left"/>
        <w:tblLayout w:type="fixed"/>
        <w:tblLook w:firstColumn="1" w:firstRow="1" w:lastColumn="0" w:lastRow="0" w:noHBand="0" w:noVBand="1" w:val="04A0"/>
        <w:tblInd w:type="dxa" w:w="120"/>
        <w:tblCellMar>
          <w:top w:type="dxa" w:w="80"/>
          <w:bottom w:type="dxa" w:w="80"/>
          <w:start w:type="dxa" w:w="120"/>
          <w:end w:type="dxa" w:w="120"/>
        </w:tblCellMar>
      </w:tblPr>
      <w:tblGrid>
        <w:gridCol w:w="1440"/>
        <w:gridCol w:w="3520"/>
        <w:gridCol w:w="4400"/>
      </w:tblGrid>
      <w:tr>
        <w:trPr>
          <w:tblHeader w:val="true"/>
          <w:cantSplit/>
        </w:trPr>
        <w:tc>
          <w:tcPr>
            <w:tcW w:type="dxa" w:w="1440"/>
            <w:shd w:fill="0B2630"/>
            <w:vAlign w:val="center"/>
          </w:tcPr>
          <w:p>
            <w:pPr>
              <w:spacing w:after="0" w:line="252" w:lineRule="auto"/>
              <w:jc w:val="left"/>
            </w:pPr>
            <w:r>
              <w:rPr>
                <w:rFonts w:ascii="Calibri" w:hAnsi="Calibri"/>
                <w:b/>
                <w:color w:val="FFFFFF"/>
                <w:sz w:val="18"/>
              </w:rPr>
              <w:t>Upgrade</w:t>
            </w:r>
          </w:p>
        </w:tc>
        <w:tc>
          <w:tcPr>
            <w:tcW w:type="dxa" w:w="3520"/>
            <w:shd w:fill="0B2630"/>
            <w:vAlign w:val="center"/>
          </w:tcPr>
          <w:p>
            <w:pPr>
              <w:spacing w:after="0" w:line="252" w:lineRule="auto"/>
              <w:jc w:val="center"/>
            </w:pPr>
            <w:r>
              <w:rPr>
                <w:rFonts w:ascii="Calibri" w:hAnsi="Calibri"/>
                <w:b/>
                <w:color w:val="FFFFFF"/>
                <w:sz w:val="18"/>
              </w:rPr>
              <w:t>Six-tier effect</w:t>
            </w:r>
          </w:p>
        </w:tc>
        <w:tc>
          <w:tcPr>
            <w:tcW w:type="dxa" w:w="4400"/>
            <w:shd w:fill="0B2630"/>
            <w:vAlign w:val="center"/>
          </w:tcPr>
          <w:p>
            <w:pPr>
              <w:spacing w:after="0" w:line="252" w:lineRule="auto"/>
              <w:jc w:val="center"/>
            </w:pPr>
            <w:r>
              <w:rPr>
                <w:rFonts w:ascii="Calibri" w:hAnsi="Calibri"/>
                <w:b/>
                <w:color w:val="FFFFFF"/>
                <w:sz w:val="18"/>
              </w:rPr>
              <w:t>Player decision</w:t>
            </w:r>
          </w:p>
        </w:tc>
      </w:tr>
      <w:tr>
        <w:trPr>
          <w:cantSplit/>
        </w:trPr>
        <w:tc>
          <w:tcPr>
            <w:tcW w:type="dxa" w:w="1440"/>
            <w:vAlign w:val="center"/>
          </w:tcPr>
          <w:p>
            <w:pPr>
              <w:spacing w:after="0" w:line="252" w:lineRule="auto"/>
              <w:jc w:val="left"/>
            </w:pPr>
            <w:r>
              <w:rPr>
                <w:rFonts w:ascii="Calibri" w:hAnsi="Calibri"/>
                <w:color w:val="152A31"/>
                <w:sz w:val="18"/>
              </w:rPr>
              <w:t>Boat and cargo</w:t>
            </w:r>
          </w:p>
        </w:tc>
        <w:tc>
          <w:tcPr>
            <w:tcW w:type="dxa" w:w="3520"/>
            <w:vAlign w:val="center"/>
          </w:tcPr>
          <w:p>
            <w:pPr>
              <w:spacing w:after="0" w:line="252" w:lineRule="auto"/>
              <w:jc w:val="left"/>
            </w:pPr>
            <w:r>
              <w:rPr>
                <w:rFonts w:ascii="Calibri" w:hAnsi="Calibri"/>
                <w:color w:val="152A31"/>
                <w:sz w:val="18"/>
              </w:rPr>
              <w:t>One more space per tier; Skiff → Lakebreaker</w:t>
            </w:r>
          </w:p>
        </w:tc>
        <w:tc>
          <w:tcPr>
            <w:tcW w:type="dxa" w:w="4400"/>
            <w:vAlign w:val="center"/>
          </w:tcPr>
          <w:p>
            <w:pPr>
              <w:spacing w:after="0" w:line="252" w:lineRule="auto"/>
              <w:jc w:val="left"/>
            </w:pPr>
            <w:r>
              <w:rPr>
                <w:rFonts w:ascii="Calibri" w:hAnsi="Calibri"/>
                <w:color w:val="152A31"/>
                <w:sz w:val="18"/>
              </w:rPr>
              <w:t>Carry more, but spend money that could improve speed or depth</w:t>
            </w:r>
          </w:p>
        </w:tc>
      </w:tr>
      <w:tr>
        <w:trPr>
          <w:cantSplit/>
        </w:trPr>
        <w:tc>
          <w:tcPr>
            <w:tcW w:type="dxa" w:w="1440"/>
            <w:vAlign w:val="center"/>
          </w:tcPr>
          <w:p>
            <w:pPr>
              <w:spacing w:after="0" w:line="252" w:lineRule="auto"/>
              <w:jc w:val="left"/>
            </w:pPr>
            <w:r>
              <w:rPr>
                <w:rFonts w:ascii="Calibri" w:hAnsi="Calibri"/>
                <w:color w:val="152A31"/>
                <w:sz w:val="18"/>
              </w:rPr>
              <w:t>Engine</w:t>
            </w:r>
          </w:p>
        </w:tc>
        <w:tc>
          <w:tcPr>
            <w:tcW w:type="dxa" w:w="3520"/>
            <w:vAlign w:val="center"/>
          </w:tcPr>
          <w:p>
            <w:pPr>
              <w:spacing w:after="0" w:line="252" w:lineRule="auto"/>
              <w:jc w:val="left"/>
            </w:pPr>
            <w:r>
              <w:rPr>
                <w:rFonts w:ascii="Calibri" w:hAnsi="Calibri"/>
                <w:color w:val="152A31"/>
                <w:sz w:val="18"/>
              </w:rPr>
              <w:t>11% speed increase per tier</w:t>
            </w:r>
          </w:p>
        </w:tc>
        <w:tc>
          <w:tcPr>
            <w:tcW w:type="dxa" w:w="4400"/>
            <w:vAlign w:val="center"/>
          </w:tcPr>
          <w:p>
            <w:pPr>
              <w:spacing w:after="0" w:line="252" w:lineRule="auto"/>
              <w:jc w:val="left"/>
            </w:pPr>
            <w:r>
              <w:rPr>
                <w:rFonts w:ascii="Calibri" w:hAnsi="Calibri"/>
                <w:color w:val="152A31"/>
                <w:sz w:val="18"/>
              </w:rPr>
              <w:t>Better freshness and estimates, but express travel still raises hazard damage</w:t>
            </w:r>
          </w:p>
        </w:tc>
      </w:tr>
      <w:tr>
        <w:trPr>
          <w:cantSplit/>
        </w:trPr>
        <w:tc>
          <w:tcPr>
            <w:tcW w:type="dxa" w:w="1440"/>
            <w:vAlign w:val="center"/>
          </w:tcPr>
          <w:p>
            <w:pPr>
              <w:spacing w:after="0" w:line="252" w:lineRule="auto"/>
              <w:jc w:val="left"/>
            </w:pPr>
            <w:r>
              <w:rPr>
                <w:rFonts w:ascii="Calibri" w:hAnsi="Calibri"/>
                <w:color w:val="152A31"/>
                <w:sz w:val="18"/>
              </w:rPr>
              <w:t>Lamp</w:t>
            </w:r>
          </w:p>
        </w:tc>
        <w:tc>
          <w:tcPr>
            <w:tcW w:type="dxa" w:w="3520"/>
            <w:vAlign w:val="center"/>
          </w:tcPr>
          <w:p>
            <w:pPr>
              <w:spacing w:after="0" w:line="252" w:lineRule="auto"/>
              <w:jc w:val="left"/>
            </w:pPr>
            <w:r>
              <w:rPr>
                <w:rFonts w:ascii="Calibri" w:hAnsi="Calibri"/>
                <w:color w:val="152A31"/>
                <w:sz w:val="18"/>
              </w:rPr>
              <w:t>Larger readable area at night</w:t>
            </w:r>
          </w:p>
        </w:tc>
        <w:tc>
          <w:tcPr>
            <w:tcW w:type="dxa" w:w="4400"/>
            <w:vAlign w:val="center"/>
          </w:tcPr>
          <w:p>
            <w:pPr>
              <w:spacing w:after="0" w:line="252" w:lineRule="auto"/>
              <w:jc w:val="left"/>
            </w:pPr>
            <w:r>
              <w:rPr>
                <w:rFonts w:ascii="Calibri" w:hAnsi="Calibri"/>
                <w:color w:val="152A31"/>
                <w:sz w:val="18"/>
              </w:rPr>
              <w:t>Safer information versus immediate earning upgrades</w:t>
            </w:r>
          </w:p>
        </w:tc>
      </w:tr>
      <w:tr>
        <w:trPr>
          <w:cantSplit/>
        </w:trPr>
        <w:tc>
          <w:tcPr>
            <w:tcW w:type="dxa" w:w="1440"/>
            <w:vAlign w:val="center"/>
          </w:tcPr>
          <w:p>
            <w:pPr>
              <w:spacing w:after="0" w:line="252" w:lineRule="auto"/>
              <w:jc w:val="left"/>
            </w:pPr>
            <w:r>
              <w:rPr>
                <w:rFonts w:ascii="Calibri" w:hAnsi="Calibri"/>
                <w:color w:val="152A31"/>
                <w:sz w:val="18"/>
              </w:rPr>
              <w:t>Line depth</w:t>
            </w:r>
          </w:p>
        </w:tc>
        <w:tc>
          <w:tcPr>
            <w:tcW w:type="dxa" w:w="3520"/>
            <w:vAlign w:val="center"/>
          </w:tcPr>
          <w:p>
            <w:pPr>
              <w:spacing w:after="0" w:line="252" w:lineRule="auto"/>
              <w:jc w:val="left"/>
            </w:pPr>
            <w:r>
              <w:rPr>
                <w:rFonts w:ascii="Calibri" w:hAnsi="Calibri"/>
                <w:color w:val="152A31"/>
                <w:sz w:val="18"/>
              </w:rPr>
              <w:t>Reaches the next visible underwater band</w:t>
            </w:r>
          </w:p>
        </w:tc>
        <w:tc>
          <w:tcPr>
            <w:tcW w:type="dxa" w:w="4400"/>
            <w:vAlign w:val="center"/>
          </w:tcPr>
          <w:p>
            <w:pPr>
              <w:spacing w:after="0" w:line="252" w:lineRule="auto"/>
              <w:jc w:val="left"/>
            </w:pPr>
            <w:r>
              <w:rPr>
                <w:rFonts w:ascii="Calibri" w:hAnsi="Calibri"/>
                <w:color w:val="152A31"/>
                <w:sz w:val="18"/>
              </w:rPr>
              <w:t>Opens rarer fish and new scientific conditions</w:t>
            </w:r>
          </w:p>
        </w:tc>
      </w:tr>
      <w:tr>
        <w:trPr>
          <w:cantSplit/>
        </w:trPr>
        <w:tc>
          <w:tcPr>
            <w:tcW w:type="dxa" w:w="1440"/>
            <w:vAlign w:val="center"/>
          </w:tcPr>
          <w:p>
            <w:pPr>
              <w:spacing w:after="0" w:line="252" w:lineRule="auto"/>
              <w:jc w:val="left"/>
            </w:pPr>
            <w:r>
              <w:rPr>
                <w:rFonts w:ascii="Calibri" w:hAnsi="Calibri"/>
                <w:color w:val="152A31"/>
                <w:sz w:val="18"/>
              </w:rPr>
              <w:t>Outer Gloam permit</w:t>
            </w:r>
          </w:p>
        </w:tc>
        <w:tc>
          <w:tcPr>
            <w:tcW w:type="dxa" w:w="3520"/>
            <w:vAlign w:val="center"/>
          </w:tcPr>
          <w:p>
            <w:pPr>
              <w:spacing w:after="0" w:line="252" w:lineRule="auto"/>
              <w:jc w:val="left"/>
            </w:pPr>
            <w:r>
              <w:rPr>
                <w:rFonts w:ascii="Calibri" w:hAnsi="Calibri"/>
                <w:color w:val="152A31"/>
                <w:sz w:val="18"/>
              </w:rPr>
              <w:t>Access to the two outer sites</w:t>
            </w:r>
          </w:p>
        </w:tc>
        <w:tc>
          <w:tcPr>
            <w:tcW w:type="dxa" w:w="4400"/>
            <w:vAlign w:val="center"/>
          </w:tcPr>
          <w:p>
            <w:pPr>
              <w:spacing w:after="0" w:line="252" w:lineRule="auto"/>
              <w:jc w:val="left"/>
            </w:pPr>
            <w:r>
              <w:rPr>
                <w:rFonts w:ascii="Calibri" w:hAnsi="Calibri"/>
                <w:color w:val="152A31"/>
                <w:sz w:val="18"/>
              </w:rPr>
              <w:t>Invest in exploration after equipment is ready</w:t>
            </w:r>
          </w:p>
        </w:tc>
      </w:tr>
    </w:tbl>
    <w:p>
      <w:pPr>
        <w:spacing w:before="0" w:after="40"/>
      </w:pPr>
    </w:p>
    <w:p>
      <w:pPr>
        <w:pStyle w:val="Heading2"/>
      </w:pPr>
      <w:r>
        <w:rPr>
          <w:rFonts w:ascii="Calibri" w:hAnsi="Calibri"/>
        </w:rPr>
        <w:t>Feedback and reward</w:t>
      </w:r>
    </w:p>
    <w:p>
      <w:pPr>
        <w:pStyle w:val="ListBullet"/>
      </w:pPr>
      <w:r>
        <w:rPr>
          <w:rFonts w:ascii="Calibri" w:hAnsi="Calibri"/>
        </w:rPr>
        <w:t>Survey feedback names whether evidence supported the prediction and explains the relationship.</w:t>
      </w:r>
    </w:p>
    <w:p>
      <w:pPr>
        <w:pStyle w:val="ListBullet"/>
      </w:pPr>
      <w:r>
        <w:rPr>
          <w:rFonts w:ascii="Calibri" w:hAnsi="Calibri"/>
        </w:rPr>
        <w:t>Underwater depth boundaries remain visible with an upgrade instruction.</w:t>
      </w:r>
    </w:p>
    <w:p>
      <w:pPr>
        <w:pStyle w:val="ListBullet"/>
      </w:pPr>
      <w:r>
        <w:rPr>
          <w:rFonts w:ascii="Calibri" w:hAnsi="Calibri"/>
        </w:rPr>
        <w:t>Fishing markers physically meet the water and show site, species, and population text.</w:t>
      </w:r>
    </w:p>
    <w:p>
      <w:pPr>
        <w:pStyle w:val="ListBullet"/>
      </w:pPr>
      <w:r>
        <w:rPr>
          <w:rFonts w:ascii="Calibri" w:hAnsi="Calibri"/>
        </w:rPr>
        <w:t xml:space="preserve">Hazards use a shape, </w:t>
      </w:r>
      <w:r>
        <w:rPr>
          <w:rFonts w:ascii="Liberation Mono" w:hAnsi="Liberation Mono"/>
          <w:color w:val="173F49"/>
          <w:sz w:val="20"/>
          <w:shd w:fill="EEF2EE"/>
        </w:rPr>
        <w:t>!</w:t>
      </w:r>
      <w:r>
        <w:rPr>
          <w:rFonts w:ascii="Calibri" w:hAnsi="Calibri"/>
        </w:rPr>
        <w:t xml:space="preserve"> symbol, written name, and colour.</w:t>
      </w:r>
    </w:p>
    <w:p>
      <w:pPr>
        <w:pStyle w:val="ListBullet"/>
      </w:pPr>
      <w:r>
        <w:rPr>
          <w:rFonts w:ascii="Calibri" w:hAnsi="Calibri"/>
        </w:rPr>
        <w:t>Delivery results compare prediction and actual outcome instead of showing only currency.</w:t>
      </w:r>
    </w:p>
    <w:p>
      <w:pPr>
        <w:pStyle w:val="ListBullet"/>
      </w:pPr>
      <w:r>
        <w:rPr>
          <w:rFonts w:ascii="Calibri" w:hAnsi="Calibri"/>
        </w:rPr>
        <w:t>A healthy-ecosystem bonus rewards sustainability without blocking ordinary progress.</w:t>
      </w:r>
    </w:p>
    <w:p>
      <w:pPr>
        <w:pStyle w:val="ListBullet"/>
      </w:pPr>
      <w:r>
        <w:rPr>
          <w:rFonts w:ascii="Calibri" w:hAnsi="Calibri"/>
        </w:rPr>
        <w:t>The season report displays four measurable outcomes and includes reflection questions.</w:t>
      </w:r>
    </w:p>
    <w:p>
      <w:pPr>
        <w:pStyle w:val="Heading1"/>
      </w:pPr>
      <w:r>
        <w:rPr>
          <w:rFonts w:ascii="Calibri" w:hAnsi="Calibri"/>
        </w:rPr>
        <w:t>5. Algorithms and computational thinking</w:t>
      </w:r>
    </w:p>
    <w:p>
      <w:pPr>
        <w:pStyle w:val="Heading2"/>
      </w:pPr>
      <w:r>
        <w:rPr>
          <w:rFonts w:ascii="Calibri" w:hAnsi="Calibri"/>
        </w:rPr>
        <w:t>Decomposition</w:t>
      </w:r>
    </w:p>
    <w:p>
      <w:r>
        <w:rPr>
          <w:rFonts w:ascii="Calibri" w:hAnsi="Calibri"/>
        </w:rPr>
        <w:t>The program separates responsibilities:</w:t>
      </w:r>
    </w:p>
    <w:p>
      <w:pPr>
        <w:pStyle w:val="CodeBlock"/>
        <w:keepLines/>
        <w:shd w:fill="EEF2EE"/>
      </w:pPr>
      <w:r>
        <w:rPr>
          <w:rFonts w:ascii="Liberation Mono" w:hAnsi="Liberation Mono"/>
          <w:color w:val="0B2630"/>
          <w:sz w:val="16"/>
        </w:rPr>
        <w:t>main.ts                  startup and dependency wiring</w:t>
        <w:br/>
        <w:t>Game.ts                  high-level lifecycle and HTML overlay coordination</w:t>
        <w:br/>
        <w:t>simulation.ts            deterministic gameplay state and rules</w:t>
        <w:br/>
        <w:t>stem.ts                  water evidence, species profiles, surveys, route estimates</w:t>
        <w:br/>
        <w:t>balance.ts               central units, prices, fish, sites, regions, hazards</w:t>
        <w:br/>
        <w:t>renderer.ts              Canvas drawing only; never changes simulation state</w:t>
        <w:br/>
        <w:t>input.ts                  browser input → game intent</w:t>
        <w:br/>
        <w:t>saveGame.ts              versioning, validation, clamping, migration</w:t>
        <w:br/>
        <w:t>platformService.ts       only CrazyGames SDK boundary</w:t>
        <w:br/>
        <w:t>feedbackService.ts       audio/haptic feedback</w:t>
      </w:r>
    </w:p>
    <w:p>
      <w:pPr>
        <w:pStyle w:val="Heading2"/>
      </w:pPr>
      <w:r>
        <w:rPr>
          <w:rFonts w:ascii="Calibri" w:hAnsi="Calibri"/>
        </w:rPr>
        <w:t>Survey algorithm</w:t>
      </w:r>
    </w:p>
    <w:p>
      <w:pPr>
        <w:pStyle w:val="CodeBlock"/>
        <w:keepLines/>
        <w:shd w:fill="EEF2EE"/>
      </w:pPr>
      <w:r>
        <w:rPr>
          <w:rFonts w:ascii="Liberation Mono" w:hAnsi="Liberation Mono"/>
          <w:color w:val="0B2630"/>
          <w:sz w:val="16"/>
        </w:rPr>
        <w:t>FUNCTION recordSurvey(site, prediction, contractTarget)</w:t>
        <w:br/>
        <w:t xml:space="preserve">  expected &lt;- contractTarget IF contractTarget is a documented site resident</w:t>
        <w:br/>
        <w:t xml:space="preserve">             ELSE site.primarySpecies</w:t>
        <w:br/>
        <w:t xml:space="preserve">  surveysCompleted &lt;- surveysCompleted + 1</w:t>
        <w:br/>
        <w:t xml:space="preserve">  IF prediction = expected</w:t>
        <w:br/>
        <w:t xml:space="preserve">    correctPredictions &lt;- correctPredictions + 1</w:t>
        <w:br/>
        <w:t xml:space="preserve">  ENDIF</w:t>
        <w:br/>
        <w:t xml:space="preserve">  discoveredSpecies &lt;- UNIQUE(discoveredSpecies + expected)</w:t>
        <w:br/>
        <w:t xml:space="preserve">  RETURN explanation(site.measurements, expected.adaptation)</w:t>
        <w:br/>
        <w:t>END FUNCTION</w:t>
      </w:r>
    </w:p>
    <w:p>
      <w:pPr>
        <w:pStyle w:val="Heading2"/>
      </w:pPr>
      <w:r>
        <w:rPr>
          <w:rFonts w:ascii="Calibri" w:hAnsi="Calibri"/>
        </w:rPr>
        <w:t>Population algorithm</w:t>
      </w:r>
    </w:p>
    <w:p>
      <w:pPr>
        <w:pStyle w:val="CodeBlock"/>
        <w:keepLines/>
        <w:shd w:fill="EEF2EE"/>
      </w:pPr>
      <w:r>
        <w:rPr>
          <w:rFonts w:ascii="Liberation Mono" w:hAnsi="Liberation Mono"/>
          <w:color w:val="0B2630"/>
          <w:sz w:val="16"/>
        </w:rPr>
        <w:t>FUNCTION catch(species)</w:t>
        <w:br/>
        <w:t xml:space="preserve">  IF cargo is full THEN reject</w:t>
        <w:br/>
        <w:t xml:space="preserve">  IF population[species] &lt;= 15 THEN protect and reject</w:t>
        <w:br/>
        <w:t xml:space="preserve">  cargo.add(species, freshness = 100)</w:t>
        <w:br/>
        <w:t xml:space="preserve">  depletion &lt;- 7 + species.depthTier * 2</w:t>
        <w:br/>
        <w:t xml:space="preserve">  population[species] &lt;- MAX(0, population[species] - depletion)</w:t>
        <w:br/>
        <w:t>END FUNCTION</w:t>
        <w:br/>
        <w:br/>
        <w:t>FUNCTION release(cargoItem)</w:t>
        <w:br/>
        <w:t xml:space="preserve">  restored &lt;- 7 + cargoItem.depthTier * 2</w:t>
        <w:br/>
        <w:t xml:space="preserve">  population[cargoItem.species] &lt;- MIN(100, population + restored)</w:t>
        <w:br/>
        <w:t xml:space="preserve">  conservationScore &lt;- conservationScore + restored</w:t>
        <w:br/>
        <w:t>END FUNCTION</w:t>
      </w:r>
    </w:p>
    <w:p>
      <w:r>
        <w:rPr>
          <w:rFonts w:ascii="Calibri" w:hAnsi="Calibri"/>
        </w:rPr>
        <w:t>This model is intentionally simplified into a 0–100 index. It is not presented as a real population count. The abstraction makes the direction and relative impact of a decision understandable to the target audience.</w:t>
      </w:r>
    </w:p>
    <w:p>
      <w:pPr>
        <w:pStyle w:val="Heading2"/>
      </w:pPr>
      <w:r>
        <w:rPr>
          <w:rFonts w:ascii="Calibri" w:hAnsi="Calibri"/>
        </w:rPr>
        <w:t>Route algorithm</w:t>
      </w:r>
    </w:p>
    <w:p>
      <w:pPr>
        <w:pStyle w:val="CodeBlock"/>
        <w:keepLines/>
        <w:shd w:fill="EEF2EE"/>
      </w:pPr>
      <w:r>
        <w:rPr>
          <w:rFonts w:ascii="Liberation Mono" w:hAnsi="Liberation Mono"/>
          <w:color w:val="0B2630"/>
          <w:sz w:val="16"/>
        </w:rPr>
        <w:t>distanceKm &lt;- ABS(destinationHarborX - catchSiteX) * 18</w:t>
        <w:br/>
        <w:t>engineFactor &lt;- 1 + engineTier * 0.11</w:t>
        <w:br/>
        <w:t>safeSpeed &lt;- 0.05 * 0.92 * engineFactor * 18</w:t>
        <w:br/>
        <w:t>fastSpeed &lt;- 0.05 * 1.12 * engineFactor * 18</w:t>
        <w:br/>
        <w:t>safeMinutes &lt;- distanceKm / safeSpeed</w:t>
        <w:br/>
        <w:t>fastMinutes &lt;- distanceKm / fastSpeed</w:t>
        <w:br/>
        <w:t>predictedFreshness &lt;- MAX(0, 100 - minutes * 0.667)</w:t>
        <w:br/>
        <w:t>safeHazardDamage &lt;- baseDamage * 0.70</w:t>
        <w:br/>
        <w:t>fastHazardDamage &lt;- baseDamage * 1.45</w:t>
      </w:r>
    </w:p>
    <w:p>
      <w:r>
        <w:rPr>
          <w:rFonts w:ascii="Calibri" w:hAnsi="Calibri"/>
        </w:rPr>
        <w:t>The estimate begins when the requested fish is caught, exactly when freshness begins to fall. One scaled in-game second is treated as one model minute, so predicted time and measured delivery time share the same distance, maximum-speed, and freshness rules. Slower steering, braking, or detours can therefore explain a lower actual result.</w:t>
      </w:r>
    </w:p>
    <w:p>
      <w:pPr>
        <w:pStyle w:val="Heading2"/>
      </w:pPr>
      <w:r>
        <w:rPr>
          <w:rFonts w:ascii="Calibri" w:hAnsi="Calibri"/>
        </w:rPr>
        <w:t>Determinism</w:t>
      </w:r>
    </w:p>
    <w:p>
      <w:r>
        <w:rPr>
          <w:rFonts w:ascii="Calibri" w:hAnsi="Calibri"/>
        </w:rPr>
        <w:t xml:space="preserve">Gameplay uses a fixed </w:t>
      </w:r>
      <w:r>
        <w:rPr>
          <w:rFonts w:ascii="Liberation Mono" w:hAnsi="Liberation Mono"/>
          <w:color w:val="173F49"/>
          <w:sz w:val="20"/>
          <w:shd w:fill="EEF2EE"/>
        </w:rPr>
        <w:t>1/120</w:t>
      </w:r>
      <w:r>
        <w:rPr>
          <w:rFonts w:ascii="Calibri" w:hAnsi="Calibri"/>
        </w:rPr>
        <w:t>-second simulation step. Random target positions and speeds come from a seeded random source. The same initial state, seed, input sequence, and time step therefore produce the same result. Determinism makes bugs reproducible and tests reliable.</w:t>
      </w:r>
    </w:p>
    <w:p>
      <w:pPr>
        <w:pStyle w:val="Heading2"/>
      </w:pPr>
      <w:r>
        <w:rPr>
          <w:rFonts w:ascii="Calibri" w:hAnsi="Calibri"/>
        </w:rPr>
        <w:t>Save validation</w:t>
      </w:r>
    </w:p>
    <w:p>
      <w:r>
        <w:rPr>
          <w:rFonts w:ascii="Calibri" w:hAnsi="Calibri"/>
        </w:rPr>
        <w:t>Save version 5 treats stored data as untrusted. Money, upgrade tiers, populations, learning counters, volume, and other numerical values are checked and clamped. Species identifiers are filtered against the real species list, duplicate discoveries are removed, old saves receive safe defaults, and malformed JSON falls back to a valid new save.</w:t>
      </w:r>
    </w:p>
    <w:p>
      <w:pPr>
        <w:pStyle w:val="Heading1"/>
      </w:pPr>
      <w:r>
        <w:rPr>
          <w:rFonts w:ascii="Calibri" w:hAnsi="Calibri"/>
        </w:rPr>
        <w:t>6. Interface and accessibility design</w:t>
      </w:r>
    </w:p>
    <w:p>
      <w:pPr>
        <w:pStyle w:val="Heading2"/>
      </w:pPr>
      <w:r>
        <w:rPr>
          <w:rFonts w:ascii="Calibri" w:hAnsi="Calibri"/>
        </w:rPr>
        <w:t>Visual hierarchy</w:t>
      </w:r>
    </w:p>
    <w:p>
      <w:r>
        <w:rPr>
          <w:rFonts w:ascii="Calibri" w:hAnsi="Calibri"/>
        </w:rPr>
        <w:t xml:space="preserve">The menu was revised from a stylised arrangement into a conventional centred panel. </w:t>
      </w:r>
      <w:r>
        <w:rPr>
          <w:rFonts w:ascii="Calibri" w:hAnsi="Calibri"/>
          <w:b/>
        </w:rPr>
        <w:t>Play</w:t>
      </w:r>
      <w:r>
        <w:rPr>
          <w:rFonts w:ascii="Calibri" w:hAnsi="Calibri"/>
        </w:rPr>
        <w:t xml:space="preserve"> is the largest action. How to play, Field guide, and Settings are clearly secondary. The harbor uses a consistent dispatch-sheet structure:</w:t>
      </w:r>
    </w:p>
    <w:p>
      <w:pPr>
        <w:pStyle w:val="ListNumber"/>
        <w:numPr>
          <w:ilvl w:val="0"/>
          <w:numId w:val="13"/>
        </w:numPr>
      </w:pPr>
      <w:r>
        <w:rPr>
          <w:rFonts w:ascii="Calibri" w:hAnsi="Calibri"/>
        </w:rPr>
        <w:t>current task and reward;</w:t>
      </w:r>
    </w:p>
    <w:p>
      <w:pPr>
        <w:pStyle w:val="ListNumber"/>
        <w:numPr>
          <w:ilvl w:val="0"/>
          <w:numId w:val="13"/>
        </w:numPr>
      </w:pPr>
      <w:r>
        <w:rPr>
          <w:rFonts w:ascii="Calibri" w:hAnsi="Calibri"/>
        </w:rPr>
        <w:t>numbered catch/freshness/destination steps;</w:t>
      </w:r>
    </w:p>
    <w:p>
      <w:pPr>
        <w:pStyle w:val="ListNumber"/>
        <w:numPr>
          <w:ilvl w:val="0"/>
          <w:numId w:val="13"/>
        </w:numPr>
      </w:pPr>
      <w:r>
        <w:rPr>
          <w:rFonts w:ascii="Calibri" w:hAnsi="Calibri"/>
        </w:rPr>
        <w:t>cargo;</w:t>
      </w:r>
    </w:p>
    <w:p>
      <w:pPr>
        <w:pStyle w:val="ListNumber"/>
        <w:numPr>
          <w:ilvl w:val="0"/>
          <w:numId w:val="13"/>
        </w:numPr>
      </w:pPr>
      <w:r>
        <w:rPr>
          <w:rFonts w:ascii="Calibri" w:hAnsi="Calibri"/>
        </w:rPr>
        <w:t>upgrades and services;</w:t>
      </w:r>
    </w:p>
    <w:p>
      <w:pPr>
        <w:pStyle w:val="ListNumber"/>
        <w:numPr>
          <w:ilvl w:val="0"/>
          <w:numId w:val="13"/>
        </w:numPr>
      </w:pPr>
      <w:r>
        <w:rPr>
          <w:rFonts w:ascii="Calibri" w:hAnsi="Calibri"/>
        </w:rPr>
        <w:t>return to lake.</w:t>
      </w:r>
    </w:p>
    <w:p>
      <w:r>
        <w:rPr>
          <w:rFonts w:ascii="Calibri" w:hAnsi="Calibri"/>
        </w:rPr>
        <w:t>Science overlays use the same hierarchy: heading, measurements, evidence clue, decision, feedback, next action.</w:t>
      </w:r>
    </w:p>
    <w:p>
      <w:pPr>
        <w:pStyle w:val="Heading2"/>
      </w:pPr>
      <w:r>
        <w:rPr>
          <w:rFonts w:ascii="Calibri" w:hAnsi="Calibri"/>
        </w:rPr>
        <w:t>Colour system</w:t>
      </w:r>
    </w:p>
    <w:p>
      <w:pPr>
        <w:pStyle w:val="ListBullet"/>
      </w:pPr>
      <w:r>
        <w:rPr>
          <w:rFonts w:ascii="Calibri" w:hAnsi="Calibri"/>
        </w:rPr>
        <w:t>deep teal: background and primary structure;</w:t>
      </w:r>
    </w:p>
    <w:p>
      <w:pPr>
        <w:pStyle w:val="ListBullet"/>
      </w:pPr>
      <w:r>
        <w:rPr>
          <w:rFonts w:ascii="Calibri" w:hAnsi="Calibri"/>
        </w:rPr>
        <w:t>lighter teal and sea-glass: regions and neutral information;</w:t>
      </w:r>
    </w:p>
    <w:p>
      <w:pPr>
        <w:pStyle w:val="ListBullet"/>
      </w:pPr>
      <w:r>
        <w:rPr>
          <w:rFonts w:ascii="Calibri" w:hAnsi="Calibri"/>
        </w:rPr>
        <w:t>warm ivory: readable text;</w:t>
      </w:r>
    </w:p>
    <w:p>
      <w:pPr>
        <w:pStyle w:val="ListBullet"/>
      </w:pPr>
      <w:r>
        <w:rPr>
          <w:rFonts w:ascii="Calibri" w:hAnsi="Calibri"/>
        </w:rPr>
        <w:t>muted amber: actionable or caution information;</w:t>
      </w:r>
    </w:p>
    <w:p>
      <w:pPr>
        <w:pStyle w:val="ListBullet"/>
      </w:pPr>
      <w:r>
        <w:rPr>
          <w:rFonts w:ascii="Calibri" w:hAnsi="Calibri"/>
        </w:rPr>
        <w:t>restrained green/yellow/coral: supported, watch, and vulnerable states.</w:t>
      </w:r>
    </w:p>
    <w:p>
      <w:r>
        <w:rPr>
          <w:rFonts w:ascii="Calibri" w:hAnsi="Calibri"/>
        </w:rPr>
        <w:t>Colour is redundant. Population states include words and percentages. Hazards include a symbol and name. Fish use names and silhouette descriptions. Buttons have focus outlines, and depth locks include text.</w:t>
      </w:r>
    </w:p>
    <w:p>
      <w:pPr>
        <w:pStyle w:val="Heading2"/>
      </w:pPr>
      <w:r>
        <w:rPr>
          <w:rFonts w:ascii="Calibri" w:hAnsi="Calibri"/>
        </w:rPr>
        <w:t>Input and inclusion</w:t>
      </w:r>
    </w:p>
    <w:p>
      <w:pPr>
        <w:pStyle w:val="ListBullet"/>
      </w:pPr>
      <w:r>
        <w:rPr>
          <w:rFonts w:ascii="Calibri" w:hAnsi="Calibri"/>
        </w:rPr>
        <w:t>Keyboard navigation and gameplay controls</w:t>
      </w:r>
    </w:p>
    <w:p>
      <w:pPr>
        <w:pStyle w:val="ListBullet"/>
      </w:pPr>
      <w:r>
        <w:rPr>
          <w:rFonts w:ascii="Calibri" w:hAnsi="Calibri"/>
        </w:rPr>
        <w:t>Remappable action bindings with collision-safe swapping</w:t>
      </w:r>
    </w:p>
    <w:p>
      <w:pPr>
        <w:pStyle w:val="ListBullet"/>
      </w:pPr>
      <w:r>
        <w:rPr>
          <w:rFonts w:ascii="Calibri" w:hAnsi="Calibri"/>
        </w:rPr>
        <w:t>Pointer and touch controls with large targets</w:t>
      </w:r>
    </w:p>
    <w:p>
      <w:pPr>
        <w:pStyle w:val="ListBullet"/>
      </w:pPr>
      <w:r>
        <w:rPr>
          <w:rFonts w:ascii="Calibri" w:hAnsi="Calibri"/>
        </w:rPr>
        <w:t>Pause on focus loss or hidden tab</w:t>
      </w:r>
    </w:p>
    <w:p>
      <w:pPr>
        <w:pStyle w:val="ListBullet"/>
      </w:pPr>
      <w:r>
        <w:rPr>
          <w:rFonts w:ascii="Calibri" w:hAnsi="Calibri"/>
        </w:rPr>
        <w:t>High-contrast mode</w:t>
      </w:r>
    </w:p>
    <w:p>
      <w:pPr>
        <w:pStyle w:val="ListBullet"/>
      </w:pPr>
      <w:r>
        <w:rPr>
          <w:rFonts w:ascii="Calibri" w:hAnsi="Calibri"/>
        </w:rPr>
        <w:t>Reduced-motion mode</w:t>
      </w:r>
    </w:p>
    <w:p>
      <w:pPr>
        <w:pStyle w:val="ListBullet"/>
      </w:pPr>
      <w:r>
        <w:rPr>
          <w:rFonts w:ascii="Calibri" w:hAnsi="Calibri"/>
        </w:rPr>
        <w:t>Mute and volume</w:t>
      </w:r>
    </w:p>
    <w:p>
      <w:pPr>
        <w:pStyle w:val="ListBullet"/>
      </w:pPr>
      <w:r>
        <w:rPr>
          <w:rFonts w:ascii="Calibri" w:hAnsi="Calibri"/>
        </w:rPr>
        <w:t>No essential audio-only or colour-only information</w:t>
      </w:r>
    </w:p>
    <w:p>
      <w:pPr>
        <w:pStyle w:val="ListBullet"/>
      </w:pPr>
      <w:r>
        <w:rPr>
          <w:rFonts w:ascii="Calibri" w:hAnsi="Calibri"/>
        </w:rPr>
        <w:t>Local fallback when the external SDK is unavailable</w:t>
      </w:r>
    </w:p>
    <w:p>
      <w:pPr>
        <w:pStyle w:val="Heading1"/>
      </w:pPr>
      <w:r>
        <w:rPr>
          <w:rFonts w:ascii="Calibri" w:hAnsi="Calibri"/>
        </w:rPr>
        <w:t>7. Assets and design plans</w:t>
      </w:r>
    </w:p>
    <w:p>
      <w:r>
        <w:rPr>
          <w:rFonts w:ascii="Calibri" w:hAnsi="Calibri"/>
        </w:rPr>
        <w:t>The art direction uses original restrained gouache/screen-print scenery, deep teal interfaces, and high-readability side silhouettes. Runtime assets are explicitly imported so authoring files do not accidentally enter the production build.</w:t>
      </w:r>
    </w:p>
    <w:p>
      <w:r>
        <w:rPr>
          <w:rFonts w:ascii="Calibri" w:hAnsi="Calibri"/>
        </w:rPr>
        <w:t xml:space="preserve">The nine-fish 3 × 3 atlas was generated specifically for FSHING. Its row-major layout matches typed fish data, so each fish maps to one deterministic cell. The original two-by-two atlas remains only for its fishing-hook cell. Exact prompts, sizes, roles, source/reference images, runtime paths, and originality notes are in </w:t>
      </w:r>
      <w:r>
        <w:rPr>
          <w:rFonts w:ascii="Liberation Mono" w:hAnsi="Liberation Mono"/>
          <w:color w:val="173F49"/>
          <w:sz w:val="20"/>
          <w:shd w:fill="EEF2EE"/>
        </w:rPr>
        <w:t>Docs/Asset-Manifest.md</w:t>
      </w:r>
      <w:r>
        <w:rPr>
          <w:rFonts w:ascii="Calibri" w:hAnsi="Calibri"/>
        </w:rPr>
        <w:t>.</w:t>
      </w:r>
    </w:p>
    <w:p>
      <w:pPr>
        <w:pStyle w:val="Heading2"/>
      </w:pPr>
      <w:r>
        <w:rPr>
          <w:rFonts w:ascii="Calibri" w:hAnsi="Calibri"/>
        </w:rPr>
        <w:t>Procedural audio and equivalent feedback</w:t>
      </w:r>
    </w:p>
    <w:p>
      <w:r>
        <w:rPr>
          <w:rFonts w:ascii="Calibri" w:hAnsi="Calibri"/>
        </w:rPr>
        <w:t xml:space="preserve">No external audio file is copied or bundled. </w:t>
      </w:r>
      <w:r>
        <w:rPr>
          <w:rFonts w:ascii="Liberation Mono" w:hAnsi="Liberation Mono"/>
          <w:color w:val="173F49"/>
          <w:sz w:val="20"/>
          <w:shd w:fill="EEF2EE"/>
        </w:rPr>
        <w:t>FeedbackService</w:t>
      </w:r>
      <w:r>
        <w:rPr>
          <w:rFonts w:ascii="Calibri" w:hAnsi="Calibri"/>
        </w:rPr>
        <w:t xml:space="preserve"> creates short Web Audio tones/noise and optional device vibration at runtime.</w:t>
      </w:r>
    </w:p>
    <w:tbl>
      <w:tblPr>
        <w:tblStyle w:val="TableGrid"/>
        <w:tblW w:type="dxa" w:w="9360"/>
        <w:jc w:val="left"/>
        <w:tblLayout w:type="fixed"/>
        <w:tblLook w:firstColumn="1" w:firstRow="1" w:lastColumn="0" w:lastRow="0" w:noHBand="0" w:noVBand="1" w:val="04A0"/>
        <w:tblInd w:type="dxa" w:w="120"/>
        <w:tblCellMar>
          <w:top w:type="dxa" w:w="80"/>
          <w:bottom w:type="dxa" w:w="80"/>
          <w:start w:type="dxa" w:w="120"/>
          <w:end w:type="dxa" w:w="120"/>
        </w:tblCellMar>
      </w:tblPr>
      <w:tblGrid>
        <w:gridCol w:w="1470"/>
        <w:gridCol w:w="3677"/>
        <w:gridCol w:w="3476"/>
        <w:gridCol w:w="737"/>
      </w:tblGrid>
      <w:tr>
        <w:trPr>
          <w:tblHeader w:val="true"/>
          <w:cantSplit/>
        </w:trPr>
        <w:tc>
          <w:tcPr>
            <w:tcW w:type="dxa" w:w="1470"/>
            <w:shd w:fill="0B2630"/>
            <w:vAlign w:val="center"/>
          </w:tcPr>
          <w:p>
            <w:pPr>
              <w:spacing w:after="0" w:line="252" w:lineRule="auto"/>
              <w:jc w:val="left"/>
            </w:pPr>
            <w:r>
              <w:rPr>
                <w:rFonts w:ascii="Calibri" w:hAnsi="Calibri"/>
                <w:b/>
                <w:color w:val="FFFFFF"/>
                <w:sz w:val="17"/>
              </w:rPr>
              <w:t>Cue</w:t>
            </w:r>
          </w:p>
        </w:tc>
        <w:tc>
          <w:tcPr>
            <w:tcW w:type="dxa" w:w="3677"/>
            <w:shd w:fill="0B2630"/>
            <w:vAlign w:val="center"/>
          </w:tcPr>
          <w:p>
            <w:pPr>
              <w:spacing w:after="0" w:line="252" w:lineRule="auto"/>
              <w:jc w:val="left"/>
            </w:pPr>
            <w:r>
              <w:rPr>
                <w:rFonts w:ascii="Calibri" w:hAnsi="Calibri"/>
                <w:b/>
                <w:color w:val="FFFFFF"/>
                <w:sz w:val="17"/>
              </w:rPr>
              <w:t>Procedural implementation and purpose</w:t>
            </w:r>
          </w:p>
        </w:tc>
        <w:tc>
          <w:tcPr>
            <w:tcW w:type="dxa" w:w="3476"/>
            <w:shd w:fill="0B2630"/>
            <w:vAlign w:val="center"/>
          </w:tcPr>
          <w:p>
            <w:pPr>
              <w:spacing w:after="0" w:line="252" w:lineRule="auto"/>
              <w:jc w:val="left"/>
            </w:pPr>
            <w:r>
              <w:rPr>
                <w:rFonts w:ascii="Calibri" w:hAnsi="Calibri"/>
                <w:b/>
                <w:color w:val="FFFFFF"/>
                <w:sz w:val="17"/>
              </w:rPr>
              <w:t>Non-audio equivalent</w:t>
            </w:r>
          </w:p>
        </w:tc>
        <w:tc>
          <w:tcPr>
            <w:tcW w:type="dxa" w:w="737"/>
            <w:shd w:fill="0B2630"/>
            <w:vAlign w:val="center"/>
          </w:tcPr>
          <w:p>
            <w:pPr>
              <w:spacing w:after="0" w:line="252" w:lineRule="auto"/>
              <w:jc w:val="center"/>
            </w:pPr>
            <w:r>
              <w:rPr>
                <w:rFonts w:ascii="Calibri" w:hAnsi="Calibri"/>
                <w:b/>
                <w:color w:val="FFFFFF"/>
                <w:sz w:val="17"/>
              </w:rPr>
              <w:t>Status</w:t>
            </w:r>
          </w:p>
        </w:tc>
      </w:tr>
      <w:tr>
        <w:trPr>
          <w:cantSplit/>
        </w:trPr>
        <w:tc>
          <w:tcPr>
            <w:tcW w:type="dxa" w:w="1470"/>
            <w:vAlign w:val="center"/>
          </w:tcPr>
          <w:p>
            <w:pPr>
              <w:spacing w:after="0" w:line="252" w:lineRule="auto"/>
              <w:jc w:val="left"/>
            </w:pPr>
            <w:r>
              <w:rPr>
                <w:rFonts w:ascii="Calibri" w:hAnsi="Calibri"/>
                <w:color w:val="152A31"/>
                <w:sz w:val="17"/>
              </w:rPr>
              <w:t>Engine/boost</w:t>
            </w:r>
          </w:p>
        </w:tc>
        <w:tc>
          <w:tcPr>
            <w:tcW w:type="dxa" w:w="3677"/>
            <w:vAlign w:val="center"/>
          </w:tcPr>
          <w:p>
            <w:pPr>
              <w:spacing w:after="0" w:line="252" w:lineRule="auto"/>
              <w:jc w:val="left"/>
            </w:pPr>
            <w:r>
              <w:rPr>
                <w:rFonts w:ascii="Calibri" w:hAnsi="Calibri"/>
                <w:color w:val="152A31"/>
                <w:sz w:val="17"/>
              </w:rPr>
              <w:t>Filtered triangle oscillator changes pitch and gain with speed</w:t>
            </w:r>
          </w:p>
        </w:tc>
        <w:tc>
          <w:tcPr>
            <w:tcW w:type="dxa" w:w="3476"/>
            <w:vAlign w:val="center"/>
          </w:tcPr>
          <w:p>
            <w:pPr>
              <w:spacing w:after="0" w:line="252" w:lineRule="auto"/>
              <w:jc w:val="left"/>
            </w:pPr>
            <w:r>
              <w:rPr>
                <w:rFonts w:ascii="Calibri" w:hAnsi="Calibri"/>
                <w:color w:val="152A31"/>
                <w:sz w:val="17"/>
              </w:rPr>
              <w:t>Boat movement, wake, boost control state</w:t>
            </w:r>
          </w:p>
        </w:tc>
        <w:tc>
          <w:tcPr>
            <w:tcW w:type="dxa" w:w="737"/>
            <w:vAlign w:val="center"/>
          </w:tcPr>
          <w:p>
            <w:pPr>
              <w:spacing w:after="0" w:line="252" w:lineRule="auto"/>
              <w:jc w:val="center"/>
            </w:pPr>
            <w:r>
              <w:rPr>
                <w:rFonts w:ascii="Calibri" w:hAnsi="Calibri"/>
                <w:color w:val="152A31"/>
                <w:sz w:val="17"/>
              </w:rPr>
              <w:t>Implemented</w:t>
            </w:r>
          </w:p>
        </w:tc>
      </w:tr>
      <w:tr>
        <w:trPr>
          <w:cantSplit/>
        </w:trPr>
        <w:tc>
          <w:tcPr>
            <w:tcW w:type="dxa" w:w="1470"/>
            <w:vAlign w:val="center"/>
          </w:tcPr>
          <w:p>
            <w:pPr>
              <w:spacing w:after="0" w:line="252" w:lineRule="auto"/>
              <w:jc w:val="left"/>
            </w:pPr>
            <w:r>
              <w:rPr>
                <w:rFonts w:ascii="Calibri" w:hAnsi="Calibri"/>
                <w:color w:val="152A31"/>
                <w:sz w:val="17"/>
              </w:rPr>
              <w:t>UI/cast</w:t>
            </w:r>
          </w:p>
        </w:tc>
        <w:tc>
          <w:tcPr>
            <w:tcW w:type="dxa" w:w="3677"/>
            <w:vAlign w:val="center"/>
          </w:tcPr>
          <w:p>
            <w:pPr>
              <w:spacing w:after="0" w:line="252" w:lineRule="auto"/>
              <w:jc w:val="left"/>
            </w:pPr>
            <w:r>
              <w:rPr>
                <w:rFonts w:ascii="Calibri" w:hAnsi="Calibri"/>
                <w:color w:val="152A31"/>
                <w:sz w:val="17"/>
              </w:rPr>
              <w:t>Short sine sweep; filtered noise plus descending tone</w:t>
            </w:r>
          </w:p>
        </w:tc>
        <w:tc>
          <w:tcPr>
            <w:tcW w:type="dxa" w:w="3476"/>
            <w:vAlign w:val="center"/>
          </w:tcPr>
          <w:p>
            <w:pPr>
              <w:spacing w:after="0" w:line="252" w:lineRule="auto"/>
              <w:jc w:val="left"/>
            </w:pPr>
            <w:r>
              <w:rPr>
                <w:rFonts w:ascii="Calibri" w:hAnsi="Calibri"/>
                <w:color w:val="152A31"/>
                <w:sz w:val="17"/>
              </w:rPr>
              <w:t>Focus/pressed state; hook visibly enters the water</w:t>
            </w:r>
          </w:p>
        </w:tc>
        <w:tc>
          <w:tcPr>
            <w:tcW w:type="dxa" w:w="737"/>
            <w:vAlign w:val="center"/>
          </w:tcPr>
          <w:p>
            <w:pPr>
              <w:spacing w:after="0" w:line="252" w:lineRule="auto"/>
              <w:jc w:val="center"/>
            </w:pPr>
            <w:r>
              <w:rPr>
                <w:rFonts w:ascii="Calibri" w:hAnsi="Calibri"/>
                <w:color w:val="152A31"/>
                <w:sz w:val="17"/>
              </w:rPr>
              <w:t>Implemented</w:t>
            </w:r>
          </w:p>
        </w:tc>
      </w:tr>
      <w:tr>
        <w:trPr>
          <w:cantSplit/>
        </w:trPr>
        <w:tc>
          <w:tcPr>
            <w:tcW w:type="dxa" w:w="1470"/>
            <w:vAlign w:val="center"/>
          </w:tcPr>
          <w:p>
            <w:pPr>
              <w:spacing w:after="0" w:line="252" w:lineRule="auto"/>
              <w:jc w:val="left"/>
            </w:pPr>
            <w:r>
              <w:rPr>
                <w:rFonts w:ascii="Calibri" w:hAnsi="Calibri"/>
                <w:color w:val="152A31"/>
                <w:sz w:val="17"/>
              </w:rPr>
              <w:t>Catch/delivery/upgrade</w:t>
            </w:r>
          </w:p>
        </w:tc>
        <w:tc>
          <w:tcPr>
            <w:tcW w:type="dxa" w:w="3677"/>
            <w:vAlign w:val="center"/>
          </w:tcPr>
          <w:p>
            <w:pPr>
              <w:spacing w:after="0" w:line="252" w:lineRule="auto"/>
              <w:jc w:val="left"/>
            </w:pPr>
            <w:r>
              <w:rPr>
                <w:rFonts w:ascii="Calibri" w:hAnsi="Calibri"/>
                <w:color w:val="152A31"/>
                <w:sz w:val="17"/>
              </w:rPr>
              <w:t>Rising triangle/sine patterns distinguish success types</w:t>
            </w:r>
          </w:p>
        </w:tc>
        <w:tc>
          <w:tcPr>
            <w:tcW w:type="dxa" w:w="3476"/>
            <w:vAlign w:val="center"/>
          </w:tcPr>
          <w:p>
            <w:pPr>
              <w:spacing w:after="0" w:line="252" w:lineRule="auto"/>
              <w:jc w:val="left"/>
            </w:pPr>
            <w:r>
              <w:rPr>
                <w:rFonts w:ascii="Calibri" w:hAnsi="Calibri"/>
                <w:color w:val="152A31"/>
                <w:sz w:val="17"/>
              </w:rPr>
              <w:t>Named toast, flash, result panel, changed values</w:t>
            </w:r>
          </w:p>
        </w:tc>
        <w:tc>
          <w:tcPr>
            <w:tcW w:type="dxa" w:w="737"/>
            <w:vAlign w:val="center"/>
          </w:tcPr>
          <w:p>
            <w:pPr>
              <w:spacing w:after="0" w:line="252" w:lineRule="auto"/>
              <w:jc w:val="center"/>
            </w:pPr>
            <w:r>
              <w:rPr>
                <w:rFonts w:ascii="Calibri" w:hAnsi="Calibri"/>
                <w:color w:val="152A31"/>
                <w:sz w:val="17"/>
              </w:rPr>
              <w:t>Implemented</w:t>
            </w:r>
          </w:p>
        </w:tc>
      </w:tr>
      <w:tr>
        <w:trPr>
          <w:cantSplit/>
        </w:trPr>
        <w:tc>
          <w:tcPr>
            <w:tcW w:type="dxa" w:w="1470"/>
            <w:vAlign w:val="center"/>
          </w:tcPr>
          <w:p>
            <w:pPr>
              <w:spacing w:after="0" w:line="252" w:lineRule="auto"/>
              <w:jc w:val="left"/>
            </w:pPr>
            <w:r>
              <w:rPr>
                <w:rFonts w:ascii="Calibri" w:hAnsi="Calibri"/>
                <w:color w:val="152A31"/>
                <w:sz w:val="17"/>
              </w:rPr>
              <w:t>Collision/deny</w:t>
            </w:r>
          </w:p>
        </w:tc>
        <w:tc>
          <w:tcPr>
            <w:tcW w:type="dxa" w:w="3677"/>
            <w:vAlign w:val="center"/>
          </w:tcPr>
          <w:p>
            <w:pPr>
              <w:spacing w:after="0" w:line="252" w:lineRule="auto"/>
              <w:jc w:val="left"/>
            </w:pPr>
            <w:r>
              <w:rPr>
                <w:rFonts w:ascii="Calibri" w:hAnsi="Calibri"/>
                <w:color w:val="152A31"/>
                <w:sz w:val="17"/>
              </w:rPr>
              <w:t>Low sawtooth/noise impact or descending square tone</w:t>
            </w:r>
          </w:p>
        </w:tc>
        <w:tc>
          <w:tcPr>
            <w:tcW w:type="dxa" w:w="3476"/>
            <w:vAlign w:val="center"/>
          </w:tcPr>
          <w:p>
            <w:pPr>
              <w:spacing w:after="0" w:line="252" w:lineRule="auto"/>
              <w:jc w:val="left"/>
            </w:pPr>
            <w:r>
              <w:rPr>
                <w:rFonts w:ascii="Calibri" w:hAnsi="Calibri"/>
                <w:color w:val="152A31"/>
                <w:sz w:val="17"/>
              </w:rPr>
              <w:t>Hazard symbol/name, damage toast, denial text</w:t>
            </w:r>
          </w:p>
        </w:tc>
        <w:tc>
          <w:tcPr>
            <w:tcW w:type="dxa" w:w="737"/>
            <w:vAlign w:val="center"/>
          </w:tcPr>
          <w:p>
            <w:pPr>
              <w:spacing w:after="0" w:line="252" w:lineRule="auto"/>
              <w:jc w:val="center"/>
            </w:pPr>
            <w:r>
              <w:rPr>
                <w:rFonts w:ascii="Calibri" w:hAnsi="Calibri"/>
                <w:color w:val="152A31"/>
                <w:sz w:val="17"/>
              </w:rPr>
              <w:t>Implemented</w:t>
            </w:r>
          </w:p>
        </w:tc>
      </w:tr>
      <w:tr>
        <w:trPr>
          <w:cantSplit/>
        </w:trPr>
        <w:tc>
          <w:tcPr>
            <w:tcW w:type="dxa" w:w="1470"/>
            <w:vAlign w:val="center"/>
          </w:tcPr>
          <w:p>
            <w:pPr>
              <w:spacing w:after="0" w:line="252" w:lineRule="auto"/>
              <w:jc w:val="left"/>
            </w:pPr>
            <w:r>
              <w:rPr>
                <w:rFonts w:ascii="Calibri" w:hAnsi="Calibri"/>
                <w:color w:val="152A31"/>
                <w:sz w:val="17"/>
              </w:rPr>
              <w:t>Dock</w:t>
            </w:r>
          </w:p>
        </w:tc>
        <w:tc>
          <w:tcPr>
            <w:tcW w:type="dxa" w:w="3677"/>
            <w:vAlign w:val="center"/>
          </w:tcPr>
          <w:p>
            <w:pPr>
              <w:spacing w:after="0" w:line="252" w:lineRule="auto"/>
              <w:jc w:val="left"/>
            </w:pPr>
            <w:r>
              <w:rPr>
                <w:rFonts w:ascii="Calibri" w:hAnsi="Calibri"/>
                <w:color w:val="152A31"/>
                <w:sz w:val="17"/>
              </w:rPr>
              <w:t>Two restrained descending triangle tones</w:t>
            </w:r>
          </w:p>
        </w:tc>
        <w:tc>
          <w:tcPr>
            <w:tcW w:type="dxa" w:w="3476"/>
            <w:vAlign w:val="center"/>
          </w:tcPr>
          <w:p>
            <w:pPr>
              <w:spacing w:after="0" w:line="252" w:lineRule="auto"/>
              <w:jc w:val="left"/>
            </w:pPr>
            <w:r>
              <w:rPr>
                <w:rFonts w:ascii="Calibri" w:hAnsi="Calibri"/>
                <w:color w:val="152A31"/>
                <w:sz w:val="17"/>
              </w:rPr>
              <w:t>Harbor overlay and dock state</w:t>
            </w:r>
          </w:p>
        </w:tc>
        <w:tc>
          <w:tcPr>
            <w:tcW w:type="dxa" w:w="737"/>
            <w:vAlign w:val="center"/>
          </w:tcPr>
          <w:p>
            <w:pPr>
              <w:spacing w:after="0" w:line="252" w:lineRule="auto"/>
              <w:jc w:val="center"/>
            </w:pPr>
            <w:r>
              <w:rPr>
                <w:rFonts w:ascii="Calibri" w:hAnsi="Calibri"/>
                <w:color w:val="152A31"/>
                <w:sz w:val="17"/>
              </w:rPr>
              <w:t>Implemented</w:t>
            </w:r>
          </w:p>
        </w:tc>
      </w:tr>
      <w:tr>
        <w:trPr>
          <w:cantSplit/>
        </w:trPr>
        <w:tc>
          <w:tcPr>
            <w:tcW w:type="dxa" w:w="1470"/>
            <w:vAlign w:val="center"/>
          </w:tcPr>
          <w:p>
            <w:pPr>
              <w:spacing w:after="0" w:line="252" w:lineRule="auto"/>
              <w:jc w:val="left"/>
            </w:pPr>
            <w:r>
              <w:rPr>
                <w:rFonts w:ascii="Calibri" w:hAnsi="Calibri"/>
                <w:color w:val="152A31"/>
                <w:sz w:val="17"/>
              </w:rPr>
              <w:t>Accessibility controls</w:t>
            </w:r>
          </w:p>
        </w:tc>
        <w:tc>
          <w:tcPr>
            <w:tcW w:type="dxa" w:w="3677"/>
            <w:vAlign w:val="center"/>
          </w:tcPr>
          <w:p>
            <w:pPr>
              <w:spacing w:after="0" w:line="252" w:lineRule="auto"/>
              <w:jc w:val="left"/>
            </w:pPr>
            <w:r>
              <w:rPr>
                <w:rFonts w:ascii="Calibri" w:hAnsi="Calibri"/>
                <w:color w:val="152A31"/>
                <w:sz w:val="17"/>
              </w:rPr>
              <w:t>Master gain follows saved mute and volume; vibration is optional</w:t>
            </w:r>
          </w:p>
        </w:tc>
        <w:tc>
          <w:tcPr>
            <w:tcW w:type="dxa" w:w="3476"/>
            <w:vAlign w:val="center"/>
          </w:tcPr>
          <w:p>
            <w:pPr>
              <w:spacing w:after="0" w:line="252" w:lineRule="auto"/>
              <w:jc w:val="left"/>
            </w:pPr>
            <w:r>
              <w:rPr>
                <w:rFonts w:ascii="Calibri" w:hAnsi="Calibri"/>
                <w:color w:val="152A31"/>
                <w:sz w:val="17"/>
              </w:rPr>
              <w:t>Every cue has text, motion, shape, or state feedback</w:t>
            </w:r>
          </w:p>
        </w:tc>
        <w:tc>
          <w:tcPr>
            <w:tcW w:type="dxa" w:w="737"/>
            <w:vAlign w:val="center"/>
          </w:tcPr>
          <w:p>
            <w:pPr>
              <w:spacing w:after="0" w:line="252" w:lineRule="auto"/>
              <w:jc w:val="center"/>
            </w:pPr>
            <w:r>
              <w:rPr>
                <w:rFonts w:ascii="Calibri" w:hAnsi="Calibri"/>
                <w:color w:val="152A31"/>
                <w:sz w:val="17"/>
              </w:rPr>
              <w:t>Implemented</w:t>
            </w:r>
          </w:p>
        </w:tc>
      </w:tr>
    </w:tbl>
    <w:p>
      <w:pPr>
        <w:spacing w:before="0" w:after="40"/>
      </w:pPr>
    </w:p>
    <w:p>
      <w:r>
        <w:rPr>
          <w:rFonts w:ascii="Calibri" w:hAnsi="Calibri"/>
        </w:rPr>
        <w:t>Important design decisions:</w:t>
      </w:r>
    </w:p>
    <w:p>
      <w:pPr>
        <w:pStyle w:val="ListBullet"/>
      </w:pPr>
      <w:r>
        <w:rPr>
          <w:rFonts w:ascii="Calibri" w:hAnsi="Calibri"/>
        </w:rPr>
        <w:t>six fishing signs are anchored to the waterline with a stem and water ellipse;</w:t>
      </w:r>
    </w:p>
    <w:p>
      <w:pPr>
        <w:pStyle w:val="ListBullet"/>
      </w:pPr>
      <w:r>
        <w:rPr>
          <w:rFonts w:ascii="Calibri" w:hAnsi="Calibri"/>
        </w:rPr>
        <w:t>each region has a different surface, shallow, middle, and deep palette;</w:t>
      </w:r>
    </w:p>
    <w:p>
      <w:pPr>
        <w:pStyle w:val="ListBullet"/>
      </w:pPr>
      <w:r>
        <w:rPr>
          <w:rFonts w:ascii="Calibri" w:hAnsi="Calibri"/>
        </w:rPr>
        <w:t>fish silhouettes differ in height, length, tail, fins, crest, lure, ray wings, or armour;</w:t>
      </w:r>
    </w:p>
    <w:p>
      <w:pPr>
        <w:pStyle w:val="ListBullet"/>
      </w:pPr>
      <w:r>
        <w:rPr>
          <w:rFonts w:ascii="Calibri" w:hAnsi="Calibri"/>
        </w:rPr>
        <w:t>deeper fish remain visible but dimmed below the labelled line limit;</w:t>
      </w:r>
    </w:p>
    <w:p>
      <w:pPr>
        <w:pStyle w:val="ListBullet"/>
      </w:pPr>
      <w:r>
        <w:rPr>
          <w:rFonts w:ascii="Calibri" w:hAnsi="Calibri"/>
        </w:rPr>
        <w:t>cargo-tier upgrades visibly enlarge the boat and rename its class.</w:t>
      </w:r>
    </w:p>
    <w:p>
      <w:pPr>
        <w:pStyle w:val="Heading2"/>
        <w:pageBreakBefore/>
      </w:pPr>
      <w:r>
        <w:rPr>
          <w:rFonts w:ascii="Calibri" w:hAnsi="Calibri"/>
        </w:rPr>
        <w:t>Implemented visual evidence</w:t>
      </w:r>
    </w:p>
    <w:tbl>
      <w:tblPr>
        <w:tblW w:type="dxa" w:w="9360"/>
        <w:jc w:val="left"/>
        <w:tblLayout w:type="fixed"/>
        <w:tblLook w:firstColumn="1" w:firstRow="1" w:lastColumn="0" w:lastRow="0" w:noHBand="0" w:noVBand="1" w:val="04A0"/>
        <w:tblInd w:type="dxa" w:w="120"/>
        <w:tblCellMar>
          <w:top w:type="dxa" w:w="80"/>
          <w:bottom w:type="dxa" w:w="80"/>
          <w:start w:type="dxa" w:w="120"/>
          <w:end w:type="dxa" w:w="120"/>
        </w:tblCellMar>
      </w:tblPr>
      <w:tblGrid>
        <w:gridCol w:w="4680"/>
        <w:gridCol w:w="4680"/>
      </w:tblGrid>
      <w:tr>
        <w:trPr>
          <w:tblHeader w:val="true"/>
          <w:cantSplit/>
        </w:trPr>
        <w:tc>
          <w:tcPr>
            <w:tcW w:type="dxa" w:w="4680"/>
            <w:shd w:fill="EEF2EE"/>
            <w:vAlign w:val="center"/>
          </w:tcPr>
          <w:p>
            <w:pPr>
              <w:spacing w:after="120"/>
              <w:jc w:val="center"/>
            </w:pPr>
            <w:r>
              <w:rPr>
                <w:rFonts w:ascii="Calibri" w:hAnsi="Calibri"/>
                <w:b/>
                <w:color w:val="0B2630"/>
                <w:sz w:val="18"/>
              </w:rPr>
              <w:t>Main menu</w:t>
            </w:r>
          </w:p>
          <w:p>
            <w:pPr>
              <w:spacing w:after="0"/>
              <w:jc w:val="center"/>
            </w:pPr>
            <w:r>
              <w:drawing>
                <wp:inline xmlns:a="http://schemas.openxmlformats.org/drawingml/2006/main" xmlns:pic="http://schemas.openxmlformats.org/drawingml/2006/picture">
                  <wp:extent cx="2715768" cy="1697355"/>
                  <wp:docPr id="2" name="Picture 2" descr="Centred FSHING title menu with one dominant Play action"/>
                  <wp:cNvGraphicFramePr>
                    <a:graphicFrameLocks noChangeAspect="1"/>
                  </wp:cNvGraphicFramePr>
                  <a:graphic>
                    <a:graphicData uri="http://schemas.openxmlformats.org/drawingml/2006/picture">
                      <pic:pic>
                        <pic:nvPicPr>
                          <pic:cNvPr id="0" name="01-title.png"/>
                          <pic:cNvPicPr/>
                        </pic:nvPicPr>
                        <pic:blipFill>
                          <a:blip r:embed="rId11"/>
                          <a:stretch>
                            <a:fillRect/>
                          </a:stretch>
                        </pic:blipFill>
                        <pic:spPr>
                          <a:xfrm>
                            <a:off x="0" y="0"/>
                            <a:ext cx="2715768" cy="1697355"/>
                          </a:xfrm>
                          <a:prstGeom prst="rect"/>
                        </pic:spPr>
                      </pic:pic>
                    </a:graphicData>
                  </a:graphic>
                </wp:inline>
              </w:drawing>
            </w:r>
          </w:p>
        </w:tc>
        <w:tc>
          <w:tcPr>
            <w:tcW w:type="dxa" w:w="4680"/>
            <w:shd w:fill="EEF2EE"/>
            <w:vAlign w:val="center"/>
          </w:tcPr>
          <w:p>
            <w:pPr>
              <w:spacing w:after="120"/>
              <w:jc w:val="center"/>
            </w:pPr>
            <w:r>
              <w:rPr>
                <w:rFonts w:ascii="Calibri" w:hAnsi="Calibri"/>
                <w:b/>
                <w:color w:val="0B2630"/>
                <w:sz w:val="18"/>
              </w:rPr>
              <w:t>Route mathematics</w:t>
            </w:r>
          </w:p>
          <w:p>
            <w:pPr>
              <w:spacing w:after="0"/>
              <w:jc w:val="center"/>
            </w:pPr>
            <w:r>
              <w:drawing>
                <wp:inline xmlns:a="http://schemas.openxmlformats.org/drawingml/2006/main" xmlns:pic="http://schemas.openxmlformats.org/drawingml/2006/picture">
                  <wp:extent cx="2715768" cy="1697355"/>
                  <wp:docPr id="3" name="Picture 3" descr="Safe and express route estimate comparison"/>
                  <wp:cNvGraphicFramePr>
                    <a:graphicFrameLocks noChangeAspect="1"/>
                  </wp:cNvGraphicFramePr>
                  <a:graphic>
                    <a:graphicData uri="http://schemas.openxmlformats.org/drawingml/2006/picture">
                      <pic:pic>
                        <pic:nvPicPr>
                          <pic:cNvPr id="0" name="02-route-plan.png"/>
                          <pic:cNvPicPr/>
                        </pic:nvPicPr>
                        <pic:blipFill>
                          <a:blip r:embed="rId15"/>
                          <a:stretch>
                            <a:fillRect/>
                          </a:stretch>
                        </pic:blipFill>
                        <pic:spPr>
                          <a:xfrm>
                            <a:off x="0" y="0"/>
                            <a:ext cx="2715768" cy="1697355"/>
                          </a:xfrm>
                          <a:prstGeom prst="rect"/>
                        </pic:spPr>
                      </pic:pic>
                    </a:graphicData>
                  </a:graphic>
                </wp:inline>
              </w:drawing>
            </w:r>
          </w:p>
        </w:tc>
      </w:tr>
    </w:tbl>
    <w:p>
      <w:pPr>
        <w:spacing w:after="80"/>
      </w:pPr>
    </w:p>
    <w:tbl>
      <w:tblPr>
        <w:tblW w:type="dxa" w:w="9360"/>
        <w:jc w:val="left"/>
        <w:tblLayout w:type="fixed"/>
        <w:tblLook w:firstColumn="1" w:firstRow="1" w:lastColumn="0" w:lastRow="0" w:noHBand="0" w:noVBand="1" w:val="04A0"/>
        <w:tblInd w:type="dxa" w:w="120"/>
        <w:tblCellMar>
          <w:top w:type="dxa" w:w="80"/>
          <w:bottom w:type="dxa" w:w="80"/>
          <w:start w:type="dxa" w:w="120"/>
          <w:end w:type="dxa" w:w="120"/>
        </w:tblCellMar>
      </w:tblPr>
      <w:tblGrid>
        <w:gridCol w:w="4680"/>
        <w:gridCol w:w="4680"/>
      </w:tblGrid>
      <w:tr>
        <w:trPr>
          <w:tblHeader w:val="true"/>
          <w:cantSplit/>
        </w:trPr>
        <w:tc>
          <w:tcPr>
            <w:tcW w:type="dxa" w:w="4680"/>
            <w:shd w:fill="EEF2EE"/>
            <w:vAlign w:val="center"/>
          </w:tcPr>
          <w:p>
            <w:pPr>
              <w:spacing w:after="120"/>
              <w:jc w:val="center"/>
            </w:pPr>
            <w:r>
              <w:rPr>
                <w:rFonts w:ascii="Calibri" w:hAnsi="Calibri"/>
                <w:b/>
                <w:color w:val="0B2630"/>
                <w:sz w:val="18"/>
              </w:rPr>
              <w:t>Water-evidence prediction</w:t>
            </w:r>
          </w:p>
          <w:p>
            <w:pPr>
              <w:spacing w:after="0"/>
              <w:jc w:val="center"/>
            </w:pPr>
            <w:r>
              <w:drawing>
                <wp:inline xmlns:a="http://schemas.openxmlformats.org/drawingml/2006/main" xmlns:pic="http://schemas.openxmlformats.org/drawingml/2006/picture">
                  <wp:extent cx="2715768" cy="1697355"/>
                  <wp:docPr id="4" name="Picture 4" descr="Water survey showing depth, temperature, oxygen, turbidity, habitat and three predictions"/>
                  <wp:cNvGraphicFramePr>
                    <a:graphicFrameLocks noChangeAspect="1"/>
                  </wp:cNvGraphicFramePr>
                  <a:graphic>
                    <a:graphicData uri="http://schemas.openxmlformats.org/drawingml/2006/picture">
                      <pic:pic>
                        <pic:nvPicPr>
                          <pic:cNvPr id="0" name="03-water-survey.png"/>
                          <pic:cNvPicPr/>
                        </pic:nvPicPr>
                        <pic:blipFill>
                          <a:blip r:embed="rId16"/>
                          <a:stretch>
                            <a:fillRect/>
                          </a:stretch>
                        </pic:blipFill>
                        <pic:spPr>
                          <a:xfrm>
                            <a:off x="0" y="0"/>
                            <a:ext cx="2715768" cy="1697355"/>
                          </a:xfrm>
                          <a:prstGeom prst="rect"/>
                        </pic:spPr>
                      </pic:pic>
                    </a:graphicData>
                  </a:graphic>
                </wp:inline>
              </w:drawing>
            </w:r>
          </w:p>
        </w:tc>
        <w:tc>
          <w:tcPr>
            <w:tcW w:type="dxa" w:w="4680"/>
            <w:shd w:fill="EEF2EE"/>
            <w:vAlign w:val="center"/>
          </w:tcPr>
          <w:p>
            <w:pPr>
              <w:spacing w:after="120"/>
              <w:jc w:val="center"/>
            </w:pPr>
            <w:r>
              <w:rPr>
                <w:rFonts w:ascii="Calibri" w:hAnsi="Calibri"/>
                <w:b/>
                <w:color w:val="0B2630"/>
                <w:sz w:val="18"/>
              </w:rPr>
              <w:t>Habitat-specific, upgrade-gated fish</w:t>
            </w:r>
          </w:p>
          <w:p>
            <w:pPr>
              <w:spacing w:after="0"/>
              <w:jc w:val="center"/>
            </w:pPr>
            <w:r>
              <w:drawing>
                <wp:inline xmlns:a="http://schemas.openxmlformats.org/drawingml/2006/main" xmlns:pic="http://schemas.openxmlformats.org/drawingml/2006/picture">
                  <wp:extent cx="2715768" cy="1697355"/>
                  <wp:docPr id="5" name="Picture 5" descr="Six fish from three documented Silver Bay residents, including a dimmed deeper species below the line limit"/>
                  <wp:cNvGraphicFramePr>
                    <a:graphicFrameLocks noChangeAspect="1"/>
                  </wp:cNvGraphicFramePr>
                  <a:graphic>
                    <a:graphicData uri="http://schemas.openxmlformats.org/drawingml/2006/picture">
                      <pic:pic>
                        <pic:nvPicPr>
                          <pic:cNvPr id="0" name="04-underwater-depth.png"/>
                          <pic:cNvPicPr/>
                        </pic:nvPicPr>
                        <pic:blipFill>
                          <a:blip r:embed="rId17"/>
                          <a:stretch>
                            <a:fillRect/>
                          </a:stretch>
                        </pic:blipFill>
                        <pic:spPr>
                          <a:xfrm>
                            <a:off x="0" y="0"/>
                            <a:ext cx="2715768" cy="1697355"/>
                          </a:xfrm>
                          <a:prstGeom prst="rect"/>
                        </pic:spPr>
                      </pic:pic>
                    </a:graphicData>
                  </a:graphic>
                </wp:inline>
              </w:drawing>
            </w:r>
          </w:p>
        </w:tc>
      </w:tr>
    </w:tbl>
    <w:p>
      <w:pPr>
        <w:spacing w:after="80"/>
      </w:pPr>
    </w:p>
    <w:p>
      <w:pPr>
        <w:keepNext/>
        <w:spacing w:before="80" w:after="80"/>
        <w:jc w:val="center"/>
      </w:pPr>
      <w:r>
        <w:drawing>
          <wp:inline xmlns:a="http://schemas.openxmlformats.org/drawingml/2006/main" xmlns:pic="http://schemas.openxmlformats.org/drawingml/2006/picture">
            <wp:extent cx="5715000" cy="3571875"/>
            <wp:docPr id="6" name="Picture 6" descr="Scientific field guide with ecosystem map, depth access, discovery, accuracy and written population labels"/>
            <wp:cNvGraphicFramePr>
              <a:graphicFrameLocks noChangeAspect="1"/>
            </wp:cNvGraphicFramePr>
            <a:graphic>
              <a:graphicData uri="http://schemas.openxmlformats.org/drawingml/2006/picture">
                <pic:pic>
                  <pic:nvPicPr>
                    <pic:cNvPr id="0" name="05-field-guide.png"/>
                    <pic:cNvPicPr/>
                  </pic:nvPicPr>
                  <pic:blipFill>
                    <a:blip r:embed="rId18"/>
                    <a:stretch>
                      <a:fillRect/>
                    </a:stretch>
                  </pic:blipFill>
                  <pic:spPr>
                    <a:xfrm>
                      <a:off x="0" y="0"/>
                      <a:ext cx="5715000" cy="3571875"/>
                    </a:xfrm>
                    <a:prstGeom prst="rect"/>
                  </pic:spPr>
                </pic:pic>
              </a:graphicData>
            </a:graphic>
          </wp:inline>
        </w:drawing>
      </w:r>
    </w:p>
    <w:p>
      <w:pPr>
        <w:spacing w:after="200"/>
        <w:jc w:val="center"/>
      </w:pPr>
      <w:r>
        <w:rPr>
          <w:rFonts w:ascii="Calibri" w:hAnsi="Calibri"/>
          <w:i/>
          <w:color w:val="53666C"/>
          <w:sz w:val="17"/>
        </w:rPr>
        <w:t>Scientific field guide with ecosystem map, depth access, discovery, accuracy and written population labels</w:t>
      </w:r>
    </w:p>
    <w:p>
      <w:pPr>
        <w:pStyle w:val="Heading1"/>
      </w:pPr>
      <w:r>
        <w:rPr>
          <w:rFonts w:ascii="Calibri" w:hAnsi="Calibri"/>
        </w:rPr>
        <w:t>8. Testing and iteration</w:t>
      </w:r>
    </w:p>
    <w:p>
      <w:pPr>
        <w:pStyle w:val="Heading2"/>
      </w:pPr>
      <w:r>
        <w:rPr>
          <w:rFonts w:ascii="Calibri" w:hAnsi="Calibri"/>
        </w:rPr>
        <w:t>Stakeholder feedback and resulting iterations</w:t>
      </w:r>
    </w:p>
    <w:p>
      <w:r>
        <w:rPr>
          <w:rFonts w:ascii="Calibri" w:hAnsi="Calibri"/>
        </w:rPr>
        <w:t>The development brief was refined through direct stakeholder requests:</w:t>
      </w:r>
    </w:p>
    <w:tbl>
      <w:tblPr>
        <w:tblStyle w:val="TableGrid"/>
        <w:tblW w:type="dxa" w:w="9360"/>
        <w:jc w:val="left"/>
        <w:tblLayout w:type="fixed"/>
        <w:tblLook w:firstColumn="1" w:firstRow="1" w:lastColumn="0" w:lastRow="0" w:noHBand="0" w:noVBand="1" w:val="04A0"/>
        <w:tblInd w:type="dxa" w:w="120"/>
        <w:tblCellMar>
          <w:top w:type="dxa" w:w="80"/>
          <w:bottom w:type="dxa" w:w="80"/>
          <w:start w:type="dxa" w:w="120"/>
          <w:end w:type="dxa" w:w="120"/>
        </w:tblCellMar>
      </w:tblPr>
      <w:tblGrid>
        <w:gridCol w:w="2540"/>
        <w:gridCol w:w="3142"/>
        <w:gridCol w:w="3678"/>
      </w:tblGrid>
      <w:tr>
        <w:trPr>
          <w:tblHeader w:val="true"/>
          <w:cantSplit/>
        </w:trPr>
        <w:tc>
          <w:tcPr>
            <w:tcW w:type="dxa" w:w="2540"/>
            <w:shd w:fill="0B2630"/>
            <w:vAlign w:val="center"/>
          </w:tcPr>
          <w:p>
            <w:pPr>
              <w:spacing w:after="0" w:line="252" w:lineRule="auto"/>
              <w:jc w:val="left"/>
            </w:pPr>
            <w:r>
              <w:rPr>
                <w:rFonts w:ascii="Calibri" w:hAnsi="Calibri"/>
                <w:b/>
                <w:color w:val="FFFFFF"/>
                <w:sz w:val="18"/>
              </w:rPr>
              <w:t>Feedback</w:t>
            </w:r>
          </w:p>
        </w:tc>
        <w:tc>
          <w:tcPr>
            <w:tcW w:type="dxa" w:w="3142"/>
            <w:shd w:fill="0B2630"/>
            <w:vAlign w:val="center"/>
          </w:tcPr>
          <w:p>
            <w:pPr>
              <w:spacing w:after="0" w:line="252" w:lineRule="auto"/>
              <w:jc w:val="left"/>
            </w:pPr>
            <w:r>
              <w:rPr>
                <w:rFonts w:ascii="Calibri" w:hAnsi="Calibri"/>
                <w:b/>
                <w:color w:val="FFFFFF"/>
                <w:sz w:val="18"/>
              </w:rPr>
              <w:t>Problem identified</w:t>
            </w:r>
          </w:p>
        </w:tc>
        <w:tc>
          <w:tcPr>
            <w:tcW w:type="dxa" w:w="3678"/>
            <w:shd w:fill="0B2630"/>
            <w:vAlign w:val="center"/>
          </w:tcPr>
          <w:p>
            <w:pPr>
              <w:spacing w:after="0" w:line="252" w:lineRule="auto"/>
              <w:jc w:val="left"/>
            </w:pPr>
            <w:r>
              <w:rPr>
                <w:rFonts w:ascii="Calibri" w:hAnsi="Calibri"/>
                <w:b/>
                <w:color w:val="FFFFFF"/>
                <w:sz w:val="18"/>
              </w:rPr>
              <w:t>Implemented response</w:t>
            </w:r>
          </w:p>
        </w:tc>
      </w:tr>
      <w:tr>
        <w:trPr>
          <w:cantSplit/>
        </w:trPr>
        <w:tc>
          <w:tcPr>
            <w:tcW w:type="dxa" w:w="2540"/>
            <w:vAlign w:val="center"/>
          </w:tcPr>
          <w:p>
            <w:pPr>
              <w:spacing w:after="0" w:line="252" w:lineRule="auto"/>
              <w:jc w:val="left"/>
            </w:pPr>
            <w:r>
              <w:rPr>
                <w:rFonts w:ascii="Calibri" w:hAnsi="Calibri"/>
                <w:color w:val="152A31"/>
                <w:sz w:val="18"/>
              </w:rPr>
              <w:t>“Make it a much larger map”</w:t>
            </w:r>
          </w:p>
        </w:tc>
        <w:tc>
          <w:tcPr>
            <w:tcW w:type="dxa" w:w="3142"/>
            <w:vAlign w:val="center"/>
          </w:tcPr>
          <w:p>
            <w:pPr>
              <w:spacing w:after="0" w:line="252" w:lineRule="auto"/>
              <w:jc w:val="left"/>
            </w:pPr>
            <w:r>
              <w:rPr>
                <w:rFonts w:ascii="Calibri" w:hAnsi="Calibri"/>
                <w:color w:val="152A31"/>
                <w:sz w:val="18"/>
              </w:rPr>
              <w:t>The voyage felt too small</w:t>
            </w:r>
          </w:p>
        </w:tc>
        <w:tc>
          <w:tcPr>
            <w:tcW w:type="dxa" w:w="3678"/>
            <w:vAlign w:val="center"/>
          </w:tcPr>
          <w:p>
            <w:pPr>
              <w:spacing w:after="0" w:line="252" w:lineRule="auto"/>
              <w:jc w:val="left"/>
            </w:pPr>
            <w:r>
              <w:rPr>
                <w:rFonts w:ascii="Calibri" w:hAnsi="Calibri"/>
                <w:color w:val="152A31"/>
                <w:sz w:val="18"/>
              </w:rPr>
              <w:t>Camera view reduced to 0.30 world width, making the harbor span about three views</w:t>
            </w:r>
          </w:p>
        </w:tc>
      </w:tr>
      <w:tr>
        <w:trPr>
          <w:cantSplit/>
        </w:trPr>
        <w:tc>
          <w:tcPr>
            <w:tcW w:type="dxa" w:w="2540"/>
            <w:vAlign w:val="center"/>
          </w:tcPr>
          <w:p>
            <w:pPr>
              <w:spacing w:after="0" w:line="252" w:lineRule="auto"/>
              <w:jc w:val="left"/>
            </w:pPr>
            <w:r>
              <w:rPr>
                <w:rFonts w:ascii="Calibri" w:hAnsi="Calibri"/>
                <w:color w:val="152A31"/>
                <w:sz w:val="18"/>
              </w:rPr>
              <w:t>“Menu screen … a lot more normal”</w:t>
            </w:r>
          </w:p>
        </w:tc>
        <w:tc>
          <w:tcPr>
            <w:tcW w:type="dxa" w:w="3142"/>
            <w:vAlign w:val="center"/>
          </w:tcPr>
          <w:p>
            <w:pPr>
              <w:spacing w:after="0" w:line="252" w:lineRule="auto"/>
              <w:jc w:val="left"/>
            </w:pPr>
            <w:r>
              <w:rPr>
                <w:rFonts w:ascii="Calibri" w:hAnsi="Calibri"/>
                <w:color w:val="152A31"/>
                <w:sz w:val="18"/>
              </w:rPr>
              <w:t>Initial menu hierarchy was unusual</w:t>
            </w:r>
          </w:p>
        </w:tc>
        <w:tc>
          <w:tcPr>
            <w:tcW w:type="dxa" w:w="3678"/>
            <w:vAlign w:val="center"/>
          </w:tcPr>
          <w:p>
            <w:pPr>
              <w:spacing w:after="0" w:line="252" w:lineRule="auto"/>
              <w:jc w:val="left"/>
            </w:pPr>
            <w:r>
              <w:rPr>
                <w:rFonts w:ascii="Calibri" w:hAnsi="Calibri"/>
                <w:color w:val="152A31"/>
                <w:sz w:val="18"/>
              </w:rPr>
              <w:t>Centred bounded panel, dominant Play button, familiar secondary actions</w:t>
            </w:r>
          </w:p>
        </w:tc>
      </w:tr>
      <w:tr>
        <w:trPr>
          <w:cantSplit/>
        </w:trPr>
        <w:tc>
          <w:tcPr>
            <w:tcW w:type="dxa" w:w="2540"/>
            <w:vAlign w:val="center"/>
          </w:tcPr>
          <w:p>
            <w:pPr>
              <w:spacing w:after="0" w:line="252" w:lineRule="auto"/>
              <w:jc w:val="left"/>
            </w:pPr>
            <w:r>
              <w:rPr>
                <w:rFonts w:ascii="Calibri" w:hAnsi="Calibri"/>
                <w:color w:val="152A31"/>
                <w:sz w:val="18"/>
              </w:rPr>
              <w:t>“Fix the colour scheme”</w:t>
            </w:r>
          </w:p>
        </w:tc>
        <w:tc>
          <w:tcPr>
            <w:tcW w:type="dxa" w:w="3142"/>
            <w:vAlign w:val="center"/>
          </w:tcPr>
          <w:p>
            <w:pPr>
              <w:spacing w:after="0" w:line="252" w:lineRule="auto"/>
              <w:jc w:val="left"/>
            </w:pPr>
            <w:r>
              <w:rPr>
                <w:rFonts w:ascii="Calibri" w:hAnsi="Calibri"/>
                <w:color w:val="152A31"/>
                <w:sz w:val="18"/>
              </w:rPr>
              <w:t>Colours lacked cohesion</w:t>
            </w:r>
          </w:p>
        </w:tc>
        <w:tc>
          <w:tcPr>
            <w:tcW w:type="dxa" w:w="3678"/>
            <w:vAlign w:val="center"/>
          </w:tcPr>
          <w:p>
            <w:pPr>
              <w:spacing w:after="0" w:line="252" w:lineRule="auto"/>
              <w:jc w:val="left"/>
            </w:pPr>
            <w:r>
              <w:rPr>
                <w:rFonts w:ascii="Calibri" w:hAnsi="Calibri"/>
                <w:color w:val="152A31"/>
                <w:sz w:val="18"/>
              </w:rPr>
              <w:t>Unified deep teal, sea-glass, ivory, amber, and restrained warning colours</w:t>
            </w:r>
          </w:p>
        </w:tc>
      </w:tr>
      <w:tr>
        <w:trPr>
          <w:cantSplit/>
        </w:trPr>
        <w:tc>
          <w:tcPr>
            <w:tcW w:type="dxa" w:w="2540"/>
            <w:vAlign w:val="center"/>
          </w:tcPr>
          <w:p>
            <w:pPr>
              <w:spacing w:after="0" w:line="252" w:lineRule="auto"/>
              <w:jc w:val="left"/>
            </w:pPr>
            <w:r>
              <w:rPr>
                <w:rFonts w:ascii="Calibri" w:hAnsi="Calibri"/>
                <w:color w:val="152A31"/>
                <w:sz w:val="18"/>
              </w:rPr>
              <w:t>“Fishing spots more obvious”</w:t>
            </w:r>
          </w:p>
        </w:tc>
        <w:tc>
          <w:tcPr>
            <w:tcW w:type="dxa" w:w="3142"/>
            <w:vAlign w:val="center"/>
          </w:tcPr>
          <w:p>
            <w:pPr>
              <w:spacing w:after="0" w:line="252" w:lineRule="auto"/>
              <w:jc w:val="left"/>
            </w:pPr>
            <w:r>
              <w:rPr>
                <w:rFonts w:ascii="Calibri" w:hAnsi="Calibri"/>
                <w:color w:val="152A31"/>
                <w:sz w:val="18"/>
              </w:rPr>
              <w:t>Markers were hard to read and appeared airborne</w:t>
            </w:r>
          </w:p>
        </w:tc>
        <w:tc>
          <w:tcPr>
            <w:tcW w:type="dxa" w:w="3678"/>
            <w:vAlign w:val="center"/>
          </w:tcPr>
          <w:p>
            <w:pPr>
              <w:spacing w:after="0" w:line="252" w:lineRule="auto"/>
              <w:jc w:val="left"/>
            </w:pPr>
            <w:r>
              <w:rPr>
                <w:rFonts w:ascii="Calibri" w:hAnsi="Calibri"/>
                <w:color w:val="152A31"/>
                <w:sz w:val="18"/>
              </w:rPr>
              <w:t>Large labelled markers with vertical stems and ellipses touching the water</w:t>
            </w:r>
          </w:p>
        </w:tc>
      </w:tr>
      <w:tr>
        <w:trPr>
          <w:cantSplit/>
        </w:trPr>
        <w:tc>
          <w:tcPr>
            <w:tcW w:type="dxa" w:w="2540"/>
            <w:vAlign w:val="center"/>
          </w:tcPr>
          <w:p>
            <w:pPr>
              <w:spacing w:after="0" w:line="252" w:lineRule="auto"/>
              <w:jc w:val="left"/>
            </w:pPr>
            <w:r>
              <w:rPr>
                <w:rFonts w:ascii="Calibri" w:hAnsi="Calibri"/>
                <w:color w:val="152A31"/>
                <w:sz w:val="18"/>
              </w:rPr>
              <w:t>“Lots of different types of fish”</w:t>
            </w:r>
          </w:p>
        </w:tc>
        <w:tc>
          <w:tcPr>
            <w:tcW w:type="dxa" w:w="3142"/>
            <w:vAlign w:val="center"/>
          </w:tcPr>
          <w:p>
            <w:pPr>
              <w:spacing w:after="0" w:line="252" w:lineRule="auto"/>
              <w:jc w:val="left"/>
            </w:pPr>
            <w:r>
              <w:rPr>
                <w:rFonts w:ascii="Calibri" w:hAnsi="Calibri"/>
                <w:color w:val="152A31"/>
                <w:sz w:val="18"/>
              </w:rPr>
              <w:t>Repeated fish did not support discovery</w:t>
            </w:r>
          </w:p>
        </w:tc>
        <w:tc>
          <w:tcPr>
            <w:tcW w:type="dxa" w:w="3678"/>
            <w:vAlign w:val="center"/>
          </w:tcPr>
          <w:p>
            <w:pPr>
              <w:spacing w:after="0" w:line="252" w:lineRule="auto"/>
              <w:jc w:val="left"/>
            </w:pPr>
            <w:r>
              <w:rPr>
                <w:rFonts w:ascii="Calibri" w:hAnsi="Calibri"/>
                <w:color w:val="152A31"/>
                <w:sz w:val="18"/>
              </w:rPr>
              <w:t>Nine named, illustrated, silhouette-distinct species and profiles</w:t>
            </w:r>
          </w:p>
        </w:tc>
      </w:tr>
      <w:tr>
        <w:trPr>
          <w:cantSplit/>
        </w:trPr>
        <w:tc>
          <w:tcPr>
            <w:tcW w:type="dxa" w:w="2540"/>
            <w:vAlign w:val="center"/>
          </w:tcPr>
          <w:p>
            <w:pPr>
              <w:spacing w:after="0" w:line="252" w:lineRule="auto"/>
              <w:jc w:val="left"/>
            </w:pPr>
            <w:r>
              <w:rPr>
                <w:rFonts w:ascii="Calibri" w:hAnsi="Calibri"/>
                <w:color w:val="152A31"/>
                <w:sz w:val="18"/>
              </w:rPr>
              <w:t>“Water deeper … only with upgrades”</w:t>
            </w:r>
          </w:p>
        </w:tc>
        <w:tc>
          <w:tcPr>
            <w:tcW w:type="dxa" w:w="3142"/>
            <w:vAlign w:val="center"/>
          </w:tcPr>
          <w:p>
            <w:pPr>
              <w:spacing w:after="0" w:line="252" w:lineRule="auto"/>
              <w:jc w:val="left"/>
            </w:pPr>
            <w:r>
              <w:rPr>
                <w:rFonts w:ascii="Calibri" w:hAnsi="Calibri"/>
                <w:color w:val="152A31"/>
                <w:sz w:val="18"/>
              </w:rPr>
              <w:t>Depth progression was unclear</w:t>
            </w:r>
          </w:p>
        </w:tc>
        <w:tc>
          <w:tcPr>
            <w:tcW w:type="dxa" w:w="3678"/>
            <w:vAlign w:val="center"/>
          </w:tcPr>
          <w:p>
            <w:pPr>
              <w:spacing w:after="0" w:line="252" w:lineRule="auto"/>
              <w:jc w:val="left"/>
            </w:pPr>
            <w:r>
              <w:rPr>
                <w:rFonts w:ascii="Calibri" w:hAnsi="Calibri"/>
                <w:color w:val="152A31"/>
                <w:sz w:val="18"/>
              </w:rPr>
              <w:t>Six visible depth tiers and labelled upgrade boundary</w:t>
            </w:r>
          </w:p>
        </w:tc>
      </w:tr>
      <w:tr>
        <w:trPr>
          <w:cantSplit/>
        </w:trPr>
        <w:tc>
          <w:tcPr>
            <w:tcW w:type="dxa" w:w="2540"/>
            <w:vAlign w:val="center"/>
          </w:tcPr>
          <w:p>
            <w:pPr>
              <w:spacing w:after="0" w:line="252" w:lineRule="auto"/>
              <w:jc w:val="left"/>
            </w:pPr>
            <w:r>
              <w:rPr>
                <w:rFonts w:ascii="Calibri" w:hAnsi="Calibri"/>
                <w:color w:val="152A31"/>
                <w:sz w:val="18"/>
              </w:rPr>
              <w:t>“Larger boats … upgrade way more”</w:t>
            </w:r>
          </w:p>
        </w:tc>
        <w:tc>
          <w:tcPr>
            <w:tcW w:type="dxa" w:w="3142"/>
            <w:vAlign w:val="center"/>
          </w:tcPr>
          <w:p>
            <w:pPr>
              <w:spacing w:after="0" w:line="252" w:lineRule="auto"/>
              <w:jc w:val="left"/>
            </w:pPr>
            <w:r>
              <w:rPr>
                <w:rFonts w:ascii="Calibri" w:hAnsi="Calibri"/>
                <w:color w:val="152A31"/>
                <w:sz w:val="18"/>
              </w:rPr>
              <w:t>Progression ended too quickly</w:t>
            </w:r>
          </w:p>
        </w:tc>
        <w:tc>
          <w:tcPr>
            <w:tcW w:type="dxa" w:w="3678"/>
            <w:vAlign w:val="center"/>
          </w:tcPr>
          <w:p>
            <w:pPr>
              <w:spacing w:after="0" w:line="252" w:lineRule="auto"/>
              <w:jc w:val="left"/>
            </w:pPr>
            <w:r>
              <w:rPr>
                <w:rFonts w:ascii="Calibri" w:hAnsi="Calibri"/>
                <w:color w:val="152A31"/>
                <w:sz w:val="18"/>
              </w:rPr>
              <w:t>Six tiers in four upgrade paths and seven named boat classes</w:t>
            </w:r>
          </w:p>
        </w:tc>
      </w:tr>
      <w:tr>
        <w:trPr>
          <w:cantSplit/>
        </w:trPr>
        <w:tc>
          <w:tcPr>
            <w:tcW w:type="dxa" w:w="2540"/>
            <w:vAlign w:val="center"/>
          </w:tcPr>
          <w:p>
            <w:pPr>
              <w:spacing w:after="0" w:line="252" w:lineRule="auto"/>
              <w:jc w:val="left"/>
            </w:pPr>
            <w:r>
              <w:rPr>
                <w:rFonts w:ascii="Calibri" w:hAnsi="Calibri"/>
                <w:color w:val="152A31"/>
                <w:sz w:val="18"/>
              </w:rPr>
              <w:t>“Different worlds … colour schemes”</w:t>
            </w:r>
          </w:p>
        </w:tc>
        <w:tc>
          <w:tcPr>
            <w:tcW w:type="dxa" w:w="3142"/>
            <w:vAlign w:val="center"/>
          </w:tcPr>
          <w:p>
            <w:pPr>
              <w:spacing w:after="0" w:line="252" w:lineRule="auto"/>
              <w:jc w:val="left"/>
            </w:pPr>
            <w:r>
              <w:rPr>
                <w:rFonts w:ascii="Calibri" w:hAnsi="Calibri"/>
                <w:color w:val="152A31"/>
                <w:sz w:val="18"/>
              </w:rPr>
              <w:t>Areas lacked identity</w:t>
            </w:r>
          </w:p>
        </w:tc>
        <w:tc>
          <w:tcPr>
            <w:tcW w:type="dxa" w:w="3678"/>
            <w:vAlign w:val="center"/>
          </w:tcPr>
          <w:p>
            <w:pPr>
              <w:spacing w:after="0" w:line="252" w:lineRule="auto"/>
              <w:jc w:val="left"/>
            </w:pPr>
            <w:r>
              <w:rPr>
                <w:rFonts w:ascii="Calibri" w:hAnsi="Calibri"/>
                <w:color w:val="152A31"/>
                <w:sz w:val="18"/>
              </w:rPr>
              <w:t>Three connected ecosystems with separate above/below-water palettes</w:t>
            </w:r>
          </w:p>
        </w:tc>
      </w:tr>
      <w:tr>
        <w:trPr>
          <w:cantSplit/>
        </w:trPr>
        <w:tc>
          <w:tcPr>
            <w:tcW w:type="dxa" w:w="2540"/>
            <w:vAlign w:val="center"/>
          </w:tcPr>
          <w:p>
            <w:pPr>
              <w:spacing w:after="0" w:line="252" w:lineRule="auto"/>
              <w:jc w:val="left"/>
            </w:pPr>
            <w:r>
              <w:rPr>
                <w:rFonts w:ascii="Calibri" w:hAnsi="Calibri"/>
                <w:color w:val="152A31"/>
                <w:sz w:val="18"/>
              </w:rPr>
              <w:t>Assignment needed a clear STEM purpose</w:t>
            </w:r>
          </w:p>
        </w:tc>
        <w:tc>
          <w:tcPr>
            <w:tcW w:type="dxa" w:w="3142"/>
            <w:vAlign w:val="center"/>
          </w:tcPr>
          <w:p>
            <w:pPr>
              <w:spacing w:after="0" w:line="252" w:lineRule="auto"/>
              <w:jc w:val="left"/>
            </w:pPr>
            <w:r>
              <w:rPr>
                <w:rFonts w:ascii="Calibri" w:hAnsi="Calibri"/>
                <w:color w:val="152A31"/>
                <w:sz w:val="18"/>
              </w:rPr>
              <w:t>Fishing loop alone did not demonstrate learning</w:t>
            </w:r>
          </w:p>
        </w:tc>
        <w:tc>
          <w:tcPr>
            <w:tcW w:type="dxa" w:w="3678"/>
            <w:vAlign w:val="center"/>
          </w:tcPr>
          <w:p>
            <w:pPr>
              <w:spacing w:after="0" w:line="252" w:lineRule="auto"/>
              <w:jc w:val="left"/>
            </w:pPr>
            <w:r>
              <w:rPr>
                <w:rFonts w:ascii="Calibri" w:hAnsi="Calibri"/>
                <w:color w:val="152A31"/>
                <w:sz w:val="18"/>
              </w:rPr>
              <w:t>Surveys, route mathematics, populations, field guide, explanations, season evaluation</w:t>
            </w:r>
          </w:p>
        </w:tc>
      </w:tr>
    </w:tbl>
    <w:p>
      <w:pPr>
        <w:spacing w:before="0" w:after="40"/>
      </w:pPr>
    </w:p>
    <w:p>
      <w:pPr>
        <w:pStyle w:val="Heading2"/>
      </w:pPr>
      <w:r>
        <w:rPr>
          <w:rFonts w:ascii="Calibri" w:hAnsi="Calibri"/>
        </w:rPr>
        <w:t>Automated test strategy</w:t>
      </w:r>
    </w:p>
    <w:p>
      <w:r>
        <w:rPr>
          <w:rFonts w:ascii="Calibri" w:hAnsi="Calibri"/>
        </w:rPr>
        <w:t>Unit/model tests cover:</w:t>
      </w:r>
    </w:p>
    <w:p>
      <w:pPr>
        <w:pStyle w:val="ListBullet"/>
      </w:pPr>
      <w:r>
        <w:rPr>
          <w:rFonts w:ascii="Calibri" w:hAnsi="Calibri"/>
        </w:rPr>
        <w:t>map scale, movement, facing, braking, speed, bounds, and deterministic state;</w:t>
      </w:r>
    </w:p>
    <w:p>
      <w:pPr>
        <w:pStyle w:val="ListBullet"/>
      </w:pPr>
      <w:r>
        <w:rPr>
          <w:rFonts w:ascii="Calibri" w:hAnsi="Calibri"/>
        </w:rPr>
        <w:t>fishing targets, catch radius, cargo capacity, depth gates, and permits;</w:t>
      </w:r>
    </w:p>
    <w:p>
      <w:pPr>
        <w:pStyle w:val="ListBullet"/>
      </w:pPr>
      <w:r>
        <w:rPr>
          <w:rFonts w:ascii="Calibri" w:hAnsi="Calibri"/>
        </w:rPr>
        <w:t>contracts, freshness, payments, upgrades, rescue, and progression;</w:t>
      </w:r>
    </w:p>
    <w:p>
      <w:pPr>
        <w:pStyle w:val="ListBullet"/>
      </w:pPr>
      <w:r>
        <w:rPr>
          <w:rFonts w:ascii="Calibri" w:hAnsi="Calibri"/>
        </w:rPr>
        <w:t>survey correctness, explanations, discoveries, and accuracy;</w:t>
      </w:r>
    </w:p>
    <w:p>
      <w:pPr>
        <w:pStyle w:val="ListBullet"/>
      </w:pPr>
      <w:r>
        <w:rPr>
          <w:rFonts w:ascii="Calibri" w:hAnsi="Calibri"/>
        </w:rPr>
        <w:t>contract-specific survey targets and habitat-specific fish spawning;</w:t>
      </w:r>
    </w:p>
    <w:p>
      <w:pPr>
        <w:pStyle w:val="ListBullet"/>
      </w:pPr>
      <w:r>
        <w:rPr>
          <w:rFonts w:ascii="Calibri" w:hAnsi="Calibri"/>
        </w:rPr>
        <w:t>population depletion, release, protection, and conservation score;</w:t>
      </w:r>
    </w:p>
    <w:p>
      <w:pPr>
        <w:pStyle w:val="ListBullet"/>
      </w:pPr>
      <w:r>
        <w:rPr>
          <w:rFonts w:ascii="Calibri" w:hAnsi="Calibri"/>
        </w:rPr>
        <w:t>protected-stock contract filtering, harbor recovery, and invalid-save fallbacks;</w:t>
      </w:r>
    </w:p>
    <w:p>
      <w:pPr>
        <w:pStyle w:val="ListBullet"/>
      </w:pPr>
      <w:r>
        <w:rPr>
          <w:rFonts w:ascii="Calibri" w:hAnsi="Calibri"/>
        </w:rPr>
        <w:t>route estimates, engine effect, and safe/fast hazard damage;</w:t>
      </w:r>
    </w:p>
    <w:p>
      <w:pPr>
        <w:pStyle w:val="ListBullet"/>
      </w:pPr>
      <w:r>
        <w:rPr>
          <w:rFonts w:ascii="Calibri" w:hAnsi="Calibri"/>
        </w:rPr>
        <w:t>season completion;</w:t>
      </w:r>
    </w:p>
    <w:p>
      <w:pPr>
        <w:pStyle w:val="ListBullet"/>
      </w:pPr>
      <w:r>
        <w:rPr>
          <w:rFonts w:ascii="Calibri" w:hAnsi="Calibri"/>
        </w:rPr>
        <w:t>save corruption, migration, clamping, learning records, and round-trip persistence.</w:t>
      </w:r>
    </w:p>
    <w:p>
      <w:r>
        <w:rPr>
          <w:rFonts w:ascii="Calibri" w:hAnsi="Calibri"/>
        </w:rPr>
        <w:t>Browser tests cover:</w:t>
      </w:r>
    </w:p>
    <w:p>
      <w:pPr>
        <w:pStyle w:val="ListBullet"/>
      </w:pPr>
      <w:r>
        <w:rPr>
          <w:rFonts w:ascii="Calibri" w:hAnsi="Calibri"/>
        </w:rPr>
        <w:t>the complete survey → fish → deliver → result → upgrade → reload flow;</w:t>
      </w:r>
    </w:p>
    <w:p>
      <w:pPr>
        <w:pStyle w:val="ListBullet"/>
      </w:pPr>
      <w:r>
        <w:rPr>
          <w:rFonts w:ascii="Calibri" w:hAnsi="Calibri"/>
        </w:rPr>
        <w:t>route choice and displayed equation;</w:t>
      </w:r>
    </w:p>
    <w:p>
      <w:pPr>
        <w:pStyle w:val="ListBullet"/>
      </w:pPr>
      <w:r>
        <w:rPr>
          <w:rFonts w:ascii="Calibri" w:hAnsi="Calibri"/>
        </w:rPr>
        <w:t>settings, remapping, pause, high contrast, reduced motion, and SDK fallback;</w:t>
      </w:r>
    </w:p>
    <w:p>
      <w:pPr>
        <w:pStyle w:val="ListBullet"/>
      </w:pPr>
      <w:r>
        <w:rPr>
          <w:rFonts w:ascii="Calibri" w:hAnsi="Calibri"/>
        </w:rPr>
        <w:t>six-step help navigation;</w:t>
      </w:r>
    </w:p>
    <w:p>
      <w:pPr>
        <w:pStyle w:val="ListBullet"/>
      </w:pPr>
      <w:r>
        <w:rPr>
          <w:rFonts w:ascii="Calibri" w:hAnsi="Calibri"/>
        </w:rPr>
        <w:t>touch controls at mobile landscape size;</w:t>
      </w:r>
    </w:p>
    <w:p>
      <w:pPr>
        <w:pStyle w:val="ListBullet"/>
      </w:pPr>
      <w:r>
        <w:rPr>
          <w:rFonts w:ascii="Calibri" w:hAnsi="Calibri"/>
        </w:rPr>
        <w:t>horizontal keyboard movement and facing;</w:t>
      </w:r>
    </w:p>
    <w:p>
      <w:pPr>
        <w:pStyle w:val="ListBullet"/>
      </w:pPr>
      <w:r>
        <w:rPr>
          <w:rFonts w:ascii="Calibri" w:hAnsi="Calibri"/>
        </w:rPr>
        <w:t>field-guide regions, depth access, and written population labels.</w:t>
      </w:r>
    </w:p>
    <w:p>
      <w:pPr>
        <w:pStyle w:val="Heading2"/>
      </w:pPr>
      <w:r>
        <w:rPr>
          <w:rFonts w:ascii="Calibri" w:hAnsi="Calibri"/>
        </w:rPr>
        <w:t>Automated verification record</w:t>
      </w:r>
    </w:p>
    <w:p>
      <w:r>
        <w:rPr>
          <w:rFonts w:ascii="Calibri" w:hAnsi="Calibri"/>
        </w:rPr>
        <w:t>Final local verification on 31 July 2026:</w:t>
      </w:r>
    </w:p>
    <w:tbl>
      <w:tblPr>
        <w:tblStyle w:val="TableGrid"/>
        <w:tblW w:type="dxa" w:w="9360"/>
        <w:jc w:val="left"/>
        <w:tblLayout w:type="fixed"/>
        <w:tblLook w:firstColumn="1" w:firstRow="1" w:lastColumn="0" w:lastRow="0" w:noHBand="0" w:noVBand="1" w:val="04A0"/>
        <w:tblInd w:type="dxa" w:w="120"/>
        <w:tblCellMar>
          <w:top w:type="dxa" w:w="80"/>
          <w:bottom w:type="dxa" w:w="80"/>
          <w:start w:type="dxa" w:w="120"/>
          <w:end w:type="dxa" w:w="120"/>
        </w:tblCellMar>
      </w:tblPr>
      <w:tblGrid>
        <w:gridCol w:w="2582"/>
        <w:gridCol w:w="860"/>
        <w:gridCol w:w="5918"/>
      </w:tblGrid>
      <w:tr>
        <w:trPr>
          <w:tblHeader w:val="true"/>
          <w:cantSplit/>
        </w:trPr>
        <w:tc>
          <w:tcPr>
            <w:tcW w:type="dxa" w:w="2582"/>
            <w:shd w:fill="0B2630"/>
            <w:vAlign w:val="center"/>
          </w:tcPr>
          <w:p>
            <w:pPr>
              <w:spacing w:after="0" w:line="252" w:lineRule="auto"/>
              <w:jc w:val="left"/>
            </w:pPr>
            <w:r>
              <w:rPr>
                <w:rFonts w:ascii="Calibri" w:hAnsi="Calibri"/>
                <w:b/>
                <w:color w:val="FFFFFF"/>
                <w:sz w:val="18"/>
              </w:rPr>
              <w:t>Check</w:t>
            </w:r>
          </w:p>
        </w:tc>
        <w:tc>
          <w:tcPr>
            <w:tcW w:type="dxa" w:w="860"/>
            <w:shd w:fill="0B2630"/>
            <w:vAlign w:val="center"/>
          </w:tcPr>
          <w:p>
            <w:pPr>
              <w:spacing w:after="0" w:line="252" w:lineRule="auto"/>
              <w:jc w:val="center"/>
            </w:pPr>
            <w:r>
              <w:rPr>
                <w:rFonts w:ascii="Calibri" w:hAnsi="Calibri"/>
                <w:b/>
                <w:color w:val="FFFFFF"/>
                <w:sz w:val="18"/>
              </w:rPr>
              <w:t>Result</w:t>
            </w:r>
          </w:p>
        </w:tc>
        <w:tc>
          <w:tcPr>
            <w:tcW w:type="dxa" w:w="5918"/>
            <w:shd w:fill="0B2630"/>
            <w:vAlign w:val="center"/>
          </w:tcPr>
          <w:p>
            <w:pPr>
              <w:spacing w:after="0" w:line="252" w:lineRule="auto"/>
              <w:jc w:val="center"/>
            </w:pPr>
            <w:r>
              <w:rPr>
                <w:rFonts w:ascii="Calibri" w:hAnsi="Calibri"/>
                <w:b/>
                <w:color w:val="FFFFFF"/>
                <w:sz w:val="18"/>
              </w:rPr>
              <w:t>Evidence</w:t>
            </w:r>
          </w:p>
        </w:tc>
      </w:tr>
      <w:tr>
        <w:trPr>
          <w:cantSplit/>
        </w:trPr>
        <w:tc>
          <w:tcPr>
            <w:tcW w:type="dxa" w:w="2582"/>
            <w:vAlign w:val="center"/>
          </w:tcPr>
          <w:p>
            <w:pPr>
              <w:spacing w:after="0" w:line="252" w:lineRule="auto"/>
              <w:jc w:val="left"/>
            </w:pPr>
            <w:r>
              <w:rPr>
                <w:rFonts w:ascii="Calibri" w:hAnsi="Calibri"/>
                <w:color w:val="152A31"/>
                <w:sz w:val="18"/>
              </w:rPr>
              <w:t>Strict TypeScript</w:t>
            </w:r>
          </w:p>
        </w:tc>
        <w:tc>
          <w:tcPr>
            <w:tcW w:type="dxa" w:w="860"/>
            <w:vAlign w:val="center"/>
          </w:tcPr>
          <w:p>
            <w:pPr>
              <w:spacing w:after="0" w:line="252" w:lineRule="auto"/>
              <w:jc w:val="center"/>
            </w:pPr>
            <w:r>
              <w:rPr>
                <w:rFonts w:ascii="Calibri" w:hAnsi="Calibri"/>
                <w:color w:val="152A31"/>
                <w:sz w:val="18"/>
              </w:rPr>
              <w:t>Pass</w:t>
            </w:r>
          </w:p>
        </w:tc>
        <w:tc>
          <w:tcPr>
            <w:tcW w:type="dxa" w:w="5918"/>
            <w:vAlign w:val="center"/>
          </w:tcPr>
          <w:p>
            <w:pPr>
              <w:spacing w:after="0" w:line="252" w:lineRule="auto"/>
              <w:jc w:val="left"/>
            </w:pPr>
            <w:r>
              <w:rPr>
                <w:rFonts w:ascii="Liberation Mono" w:hAnsi="Liberation Mono"/>
                <w:color w:val="173F49"/>
                <w:sz w:val="17"/>
                <w:shd w:fill="EEF2EE"/>
              </w:rPr>
              <w:t>tsc --noEmit</w:t>
            </w:r>
            <w:r>
              <w:rPr>
                <w:rFonts w:ascii="Calibri" w:hAnsi="Calibri"/>
                <w:color w:val="152A31"/>
                <w:sz w:val="18"/>
              </w:rPr>
              <w:t xml:space="preserve"> completed with zero errors</w:t>
            </w:r>
          </w:p>
        </w:tc>
      </w:tr>
      <w:tr>
        <w:trPr>
          <w:cantSplit/>
        </w:trPr>
        <w:tc>
          <w:tcPr>
            <w:tcW w:type="dxa" w:w="2582"/>
            <w:vAlign w:val="center"/>
          </w:tcPr>
          <w:p>
            <w:pPr>
              <w:spacing w:after="0" w:line="252" w:lineRule="auto"/>
              <w:jc w:val="left"/>
            </w:pPr>
            <w:r>
              <w:rPr>
                <w:rFonts w:ascii="Calibri" w:hAnsi="Calibri"/>
                <w:color w:val="152A31"/>
                <w:sz w:val="18"/>
              </w:rPr>
              <w:t>Unit/model suite</w:t>
            </w:r>
          </w:p>
        </w:tc>
        <w:tc>
          <w:tcPr>
            <w:tcW w:type="dxa" w:w="860"/>
            <w:vAlign w:val="center"/>
          </w:tcPr>
          <w:p>
            <w:pPr>
              <w:spacing w:after="0" w:line="252" w:lineRule="auto"/>
              <w:jc w:val="center"/>
            </w:pPr>
            <w:r>
              <w:rPr>
                <w:rFonts w:ascii="Calibri" w:hAnsi="Calibri"/>
                <w:color w:val="152A31"/>
                <w:sz w:val="18"/>
              </w:rPr>
              <w:t>Pass</w:t>
            </w:r>
          </w:p>
        </w:tc>
        <w:tc>
          <w:tcPr>
            <w:tcW w:type="dxa" w:w="5918"/>
            <w:vAlign w:val="center"/>
          </w:tcPr>
          <w:p>
            <w:pPr>
              <w:spacing w:after="0" w:line="252" w:lineRule="auto"/>
              <w:jc w:val="left"/>
            </w:pPr>
            <w:r>
              <w:rPr>
                <w:rFonts w:ascii="Calibri" w:hAnsi="Calibri"/>
                <w:color w:val="152A31"/>
                <w:sz w:val="18"/>
              </w:rPr>
              <w:t>23 of 23 Vitest tests passed</w:t>
            </w:r>
          </w:p>
        </w:tc>
      </w:tr>
      <w:tr>
        <w:trPr>
          <w:cantSplit/>
        </w:trPr>
        <w:tc>
          <w:tcPr>
            <w:tcW w:type="dxa" w:w="2582"/>
            <w:vAlign w:val="center"/>
          </w:tcPr>
          <w:p>
            <w:pPr>
              <w:spacing w:after="0" w:line="252" w:lineRule="auto"/>
              <w:jc w:val="left"/>
            </w:pPr>
            <w:r>
              <w:rPr>
                <w:rFonts w:ascii="Calibri" w:hAnsi="Calibri"/>
                <w:color w:val="152A31"/>
                <w:sz w:val="18"/>
              </w:rPr>
              <w:t>Production build</w:t>
            </w:r>
          </w:p>
        </w:tc>
        <w:tc>
          <w:tcPr>
            <w:tcW w:type="dxa" w:w="860"/>
            <w:vAlign w:val="center"/>
          </w:tcPr>
          <w:p>
            <w:pPr>
              <w:spacing w:after="0" w:line="252" w:lineRule="auto"/>
              <w:jc w:val="center"/>
            </w:pPr>
            <w:r>
              <w:rPr>
                <w:rFonts w:ascii="Calibri" w:hAnsi="Calibri"/>
                <w:color w:val="152A31"/>
                <w:sz w:val="18"/>
              </w:rPr>
              <w:t>Pass</w:t>
            </w:r>
          </w:p>
        </w:tc>
        <w:tc>
          <w:tcPr>
            <w:tcW w:type="dxa" w:w="5918"/>
            <w:vAlign w:val="center"/>
          </w:tcPr>
          <w:p>
            <w:pPr>
              <w:spacing w:after="0" w:line="252" w:lineRule="auto"/>
              <w:jc w:val="left"/>
            </w:pPr>
            <w:r>
              <w:rPr>
                <w:rFonts w:ascii="Calibri" w:hAnsi="Calibri"/>
                <w:color w:val="152A31"/>
                <w:sz w:val="18"/>
              </w:rPr>
              <w:t xml:space="preserve">Vite transformed 25 modules and produced </w:t>
            </w:r>
            <w:r>
              <w:rPr>
                <w:rFonts w:ascii="Liberation Mono" w:hAnsi="Liberation Mono"/>
                <w:color w:val="173F49"/>
                <w:sz w:val="17"/>
                <w:shd w:fill="EEF2EE"/>
              </w:rPr>
              <w:t>dist/</w:t>
            </w:r>
          </w:p>
        </w:tc>
      </w:tr>
      <w:tr>
        <w:trPr>
          <w:cantSplit/>
        </w:trPr>
        <w:tc>
          <w:tcPr>
            <w:tcW w:type="dxa" w:w="2582"/>
            <w:vAlign w:val="center"/>
          </w:tcPr>
          <w:p>
            <w:pPr>
              <w:spacing w:after="0" w:line="252" w:lineRule="auto"/>
              <w:jc w:val="left"/>
            </w:pPr>
            <w:r>
              <w:rPr>
                <w:rFonts w:ascii="Calibri" w:hAnsi="Calibri"/>
                <w:color w:val="152A31"/>
                <w:sz w:val="18"/>
              </w:rPr>
              <w:t>Browser suite</w:t>
            </w:r>
          </w:p>
        </w:tc>
        <w:tc>
          <w:tcPr>
            <w:tcW w:type="dxa" w:w="860"/>
            <w:vAlign w:val="center"/>
          </w:tcPr>
          <w:p>
            <w:pPr>
              <w:spacing w:after="0" w:line="252" w:lineRule="auto"/>
              <w:jc w:val="center"/>
            </w:pPr>
            <w:r>
              <w:rPr>
                <w:rFonts w:ascii="Calibri" w:hAnsi="Calibri"/>
                <w:color w:val="152A31"/>
                <w:sz w:val="18"/>
              </w:rPr>
              <w:t>Pass</w:t>
            </w:r>
          </w:p>
        </w:tc>
        <w:tc>
          <w:tcPr>
            <w:tcW w:type="dxa" w:w="5918"/>
            <w:vAlign w:val="center"/>
          </w:tcPr>
          <w:p>
            <w:pPr>
              <w:spacing w:after="0" w:line="252" w:lineRule="auto"/>
              <w:jc w:val="left"/>
            </w:pPr>
            <w:r>
              <w:rPr>
                <w:rFonts w:ascii="Calibri" w:hAnsi="Calibri"/>
                <w:color w:val="152A31"/>
                <w:sz w:val="18"/>
              </w:rPr>
              <w:t>6 of 6 Playwright Chromium tests passed</w:t>
            </w:r>
          </w:p>
        </w:tc>
      </w:tr>
      <w:tr>
        <w:trPr>
          <w:cantSplit/>
        </w:trPr>
        <w:tc>
          <w:tcPr>
            <w:tcW w:type="dxa" w:w="2582"/>
            <w:vAlign w:val="center"/>
          </w:tcPr>
          <w:p>
            <w:pPr>
              <w:spacing w:after="0" w:line="252" w:lineRule="auto"/>
              <w:jc w:val="left"/>
            </w:pPr>
            <w:r>
              <w:rPr>
                <w:rFonts w:ascii="Calibri" w:hAnsi="Calibri"/>
                <w:color w:val="152A31"/>
                <w:sz w:val="18"/>
              </w:rPr>
              <w:t>SDK-unavailable fallback</w:t>
            </w:r>
          </w:p>
        </w:tc>
        <w:tc>
          <w:tcPr>
            <w:tcW w:type="dxa" w:w="860"/>
            <w:vAlign w:val="center"/>
          </w:tcPr>
          <w:p>
            <w:pPr>
              <w:spacing w:after="0" w:line="252" w:lineRule="auto"/>
              <w:jc w:val="center"/>
            </w:pPr>
            <w:r>
              <w:rPr>
                <w:rFonts w:ascii="Calibri" w:hAnsi="Calibri"/>
                <w:color w:val="152A31"/>
                <w:sz w:val="18"/>
              </w:rPr>
              <w:t>Pass</w:t>
            </w:r>
          </w:p>
        </w:tc>
        <w:tc>
          <w:tcPr>
            <w:tcW w:type="dxa" w:w="5918"/>
            <w:vAlign w:val="center"/>
          </w:tcPr>
          <w:p>
            <w:pPr>
              <w:spacing w:after="0" w:line="252" w:lineRule="auto"/>
              <w:jc w:val="left"/>
            </w:pPr>
            <w:r>
              <w:rPr>
                <w:rFonts w:ascii="Calibri" w:hAnsi="Calibri"/>
                <w:color w:val="152A31"/>
                <w:sz w:val="18"/>
              </w:rPr>
              <w:t>Browser suite blocks the CrazyGames SDK and completes local play</w:t>
            </w:r>
          </w:p>
        </w:tc>
      </w:tr>
    </w:tbl>
    <w:p>
      <w:pPr>
        <w:spacing w:before="0" w:after="40"/>
      </w:pPr>
    </w:p>
    <w:p>
      <w:pPr>
        <w:pStyle w:val="Heading2"/>
      </w:pPr>
      <w:r>
        <w:rPr>
          <w:rFonts w:ascii="Calibri" w:hAnsi="Calibri"/>
        </w:rPr>
        <w:t>Human playtest protocol</w:t>
      </w:r>
    </w:p>
    <w:p>
      <w:r>
        <w:rPr>
          <w:rFonts w:ascii="Calibri" w:hAnsi="Calibri"/>
        </w:rPr>
        <w:t>Automated tests can prove correct states, but not whether a student understands or enjoys them. The following script is ready for at least three testers who have not seen the project. Results must be recorded honestly after testing; blank cells are not invented evidence.</w:t>
      </w:r>
    </w:p>
    <w:p>
      <w:r>
        <w:rPr>
          <w:rFonts w:ascii="Calibri" w:hAnsi="Calibri"/>
        </w:rPr>
        <w:t>An em dash means that a real participant result is still pending.</w:t>
      </w:r>
    </w:p>
    <w:tbl>
      <w:tblPr>
        <w:tblStyle w:val="TableGrid"/>
        <w:tblW w:type="dxa" w:w="9360"/>
        <w:jc w:val="left"/>
        <w:tblLayout w:type="fixed"/>
        <w:tblLook w:firstColumn="1" w:firstRow="1" w:lastColumn="0" w:lastRow="0" w:noHBand="0" w:noVBand="1" w:val="04A0"/>
        <w:tblInd w:type="dxa" w:w="120"/>
        <w:tblCellMar>
          <w:top w:type="dxa" w:w="80"/>
          <w:bottom w:type="dxa" w:w="80"/>
          <w:start w:type="dxa" w:w="120"/>
          <w:end w:type="dxa" w:w="120"/>
        </w:tblCellMar>
      </w:tblPr>
      <w:tblGrid>
        <w:gridCol w:w="2000"/>
        <w:gridCol w:w="1900"/>
        <w:gridCol w:w="1900"/>
        <w:gridCol w:w="1187"/>
        <w:gridCol w:w="1187"/>
        <w:gridCol w:w="1186"/>
      </w:tblGrid>
      <w:tr>
        <w:trPr>
          <w:tblHeader w:val="true"/>
          <w:cantSplit/>
        </w:trPr>
        <w:tc>
          <w:tcPr>
            <w:tcW w:type="dxa" w:w="2000"/>
            <w:shd w:fill="0B2630"/>
            <w:vAlign w:val="center"/>
          </w:tcPr>
          <w:p>
            <w:pPr>
              <w:spacing w:after="0" w:line="252" w:lineRule="auto"/>
              <w:jc w:val="left"/>
            </w:pPr>
            <w:r>
              <w:rPr>
                <w:rFonts w:ascii="Calibri" w:hAnsi="Calibri"/>
                <w:b/>
                <w:color w:val="FFFFFF"/>
                <w:sz w:val="17"/>
              </w:rPr>
              <w:t>Measure</w:t>
            </w:r>
          </w:p>
        </w:tc>
        <w:tc>
          <w:tcPr>
            <w:tcW w:type="dxa" w:w="1900"/>
            <w:shd w:fill="0B2630"/>
            <w:vAlign w:val="center"/>
          </w:tcPr>
          <w:p>
            <w:pPr>
              <w:spacing w:after="0" w:line="252" w:lineRule="auto"/>
              <w:jc w:val="center"/>
            </w:pPr>
            <w:r>
              <w:rPr>
                <w:rFonts w:ascii="Calibri" w:hAnsi="Calibri"/>
                <w:b/>
                <w:color w:val="FFFFFF"/>
                <w:sz w:val="17"/>
              </w:rPr>
              <w:t>Method</w:t>
            </w:r>
          </w:p>
        </w:tc>
        <w:tc>
          <w:tcPr>
            <w:tcW w:type="dxa" w:w="1900"/>
            <w:shd w:fill="0B2630"/>
            <w:vAlign w:val="center"/>
          </w:tcPr>
          <w:p>
            <w:pPr>
              <w:spacing w:after="0" w:line="252" w:lineRule="auto"/>
              <w:jc w:val="center"/>
            </w:pPr>
            <w:r>
              <w:rPr>
                <w:rFonts w:ascii="Calibri" w:hAnsi="Calibri"/>
                <w:b/>
                <w:color w:val="FFFFFF"/>
                <w:sz w:val="17"/>
              </w:rPr>
              <w:t>Success target</w:t>
            </w:r>
          </w:p>
        </w:tc>
        <w:tc>
          <w:tcPr>
            <w:tcW w:type="dxa" w:w="1187"/>
            <w:shd w:fill="0B2630"/>
            <w:vAlign w:val="center"/>
          </w:tcPr>
          <w:p>
            <w:pPr>
              <w:spacing w:after="0" w:line="252" w:lineRule="auto"/>
              <w:jc w:val="center"/>
            </w:pPr>
            <w:r>
              <w:rPr>
                <w:rFonts w:ascii="Calibri" w:hAnsi="Calibri"/>
                <w:b/>
                <w:color w:val="FFFFFF"/>
                <w:sz w:val="17"/>
              </w:rPr>
              <w:t>T1</w:t>
            </w:r>
          </w:p>
        </w:tc>
        <w:tc>
          <w:tcPr>
            <w:tcW w:type="dxa" w:w="1187"/>
            <w:shd w:fill="0B2630"/>
            <w:vAlign w:val="center"/>
          </w:tcPr>
          <w:p>
            <w:pPr>
              <w:spacing w:after="0" w:line="252" w:lineRule="auto"/>
              <w:jc w:val="center"/>
            </w:pPr>
            <w:r>
              <w:rPr>
                <w:rFonts w:ascii="Calibri" w:hAnsi="Calibri"/>
                <w:b/>
                <w:color w:val="FFFFFF"/>
                <w:sz w:val="17"/>
              </w:rPr>
              <w:t>T2</w:t>
            </w:r>
          </w:p>
        </w:tc>
        <w:tc>
          <w:tcPr>
            <w:tcW w:type="dxa" w:w="1186"/>
            <w:shd w:fill="0B2630"/>
            <w:vAlign w:val="center"/>
          </w:tcPr>
          <w:p>
            <w:pPr>
              <w:spacing w:after="0" w:line="252" w:lineRule="auto"/>
              <w:jc w:val="center"/>
            </w:pPr>
            <w:r>
              <w:rPr>
                <w:rFonts w:ascii="Calibri" w:hAnsi="Calibri"/>
                <w:b/>
                <w:color w:val="FFFFFF"/>
                <w:sz w:val="17"/>
              </w:rPr>
              <w:t>T3</w:t>
            </w:r>
          </w:p>
        </w:tc>
      </w:tr>
      <w:tr>
        <w:trPr>
          <w:cantSplit/>
        </w:trPr>
        <w:tc>
          <w:tcPr>
            <w:tcW w:type="dxa" w:w="2000"/>
            <w:vAlign w:val="center"/>
          </w:tcPr>
          <w:p>
            <w:pPr>
              <w:spacing w:after="0" w:line="252" w:lineRule="auto"/>
              <w:jc w:val="left"/>
            </w:pPr>
            <w:r>
              <w:rPr>
                <w:rFonts w:ascii="Calibri" w:hAnsi="Calibri"/>
                <w:color w:val="152A31"/>
                <w:sz w:val="17"/>
              </w:rPr>
              <w:t>First contract completion</w:t>
            </w:r>
          </w:p>
        </w:tc>
        <w:tc>
          <w:tcPr>
            <w:tcW w:type="dxa" w:w="1900"/>
            <w:vAlign w:val="center"/>
          </w:tcPr>
          <w:p>
            <w:pPr>
              <w:spacing w:after="0" w:line="252" w:lineRule="auto"/>
              <w:jc w:val="left"/>
            </w:pPr>
            <w:r>
              <w:rPr>
                <w:rFonts w:ascii="Calibri" w:hAnsi="Calibri"/>
                <w:color w:val="152A31"/>
                <w:sz w:val="17"/>
              </w:rPr>
              <w:t>Observe without verbal help</w:t>
            </w:r>
          </w:p>
        </w:tc>
        <w:tc>
          <w:tcPr>
            <w:tcW w:type="dxa" w:w="1900"/>
            <w:vAlign w:val="center"/>
          </w:tcPr>
          <w:p>
            <w:pPr>
              <w:spacing w:after="0" w:line="252" w:lineRule="auto"/>
              <w:jc w:val="center"/>
            </w:pPr>
            <w:r>
              <w:rPr>
                <w:rFonts w:ascii="Calibri" w:hAnsi="Calibri"/>
                <w:color w:val="152A31"/>
                <w:sz w:val="17"/>
              </w:rPr>
              <w:t>3/3 complete</w:t>
            </w:r>
          </w:p>
        </w:tc>
        <w:tc>
          <w:tcPr>
            <w:tcW w:type="dxa" w:w="1187"/>
            <w:vAlign w:val="center"/>
          </w:tcPr>
          <w:p>
            <w:pPr>
              <w:spacing w:after="0" w:line="252" w:lineRule="auto"/>
              <w:jc w:val="center"/>
            </w:pPr>
            <w:r>
              <w:rPr>
                <w:rFonts w:ascii="Calibri" w:hAnsi="Calibri"/>
                <w:color w:val="152A31"/>
                <w:sz w:val="17"/>
              </w:rPr>
              <w:t>—</w:t>
            </w:r>
          </w:p>
        </w:tc>
        <w:tc>
          <w:tcPr>
            <w:tcW w:type="dxa" w:w="1187"/>
            <w:vAlign w:val="center"/>
          </w:tcPr>
          <w:p>
            <w:pPr>
              <w:spacing w:after="0" w:line="252" w:lineRule="auto"/>
              <w:jc w:val="center"/>
            </w:pPr>
            <w:r>
              <w:rPr>
                <w:rFonts w:ascii="Calibri" w:hAnsi="Calibri"/>
                <w:color w:val="152A31"/>
                <w:sz w:val="17"/>
              </w:rPr>
              <w:t>—</w:t>
            </w:r>
          </w:p>
        </w:tc>
        <w:tc>
          <w:tcPr>
            <w:tcW w:type="dxa" w:w="1186"/>
            <w:vAlign w:val="center"/>
          </w:tcPr>
          <w:p>
            <w:pPr>
              <w:spacing w:after="0" w:line="252" w:lineRule="auto"/>
              <w:jc w:val="center"/>
            </w:pPr>
            <w:r>
              <w:rPr>
                <w:rFonts w:ascii="Calibri" w:hAnsi="Calibri"/>
                <w:color w:val="152A31"/>
                <w:sz w:val="17"/>
              </w:rPr>
              <w:t>—</w:t>
            </w:r>
          </w:p>
        </w:tc>
      </w:tr>
      <w:tr>
        <w:trPr>
          <w:cantSplit/>
        </w:trPr>
        <w:tc>
          <w:tcPr>
            <w:tcW w:type="dxa" w:w="2000"/>
            <w:vAlign w:val="center"/>
          </w:tcPr>
          <w:p>
            <w:pPr>
              <w:spacing w:after="0" w:line="252" w:lineRule="auto"/>
              <w:jc w:val="left"/>
            </w:pPr>
            <w:r>
              <w:rPr>
                <w:rFonts w:ascii="Calibri" w:hAnsi="Calibri"/>
                <w:color w:val="152A31"/>
                <w:sz w:val="17"/>
              </w:rPr>
              <w:t>Time to first survey prediction</w:t>
            </w:r>
          </w:p>
        </w:tc>
        <w:tc>
          <w:tcPr>
            <w:tcW w:type="dxa" w:w="1900"/>
            <w:vAlign w:val="center"/>
          </w:tcPr>
          <w:p>
            <w:pPr>
              <w:spacing w:after="0" w:line="252" w:lineRule="auto"/>
              <w:jc w:val="center"/>
            </w:pPr>
            <w:r>
              <w:rPr>
                <w:rFonts w:ascii="Calibri" w:hAnsi="Calibri"/>
                <w:color w:val="152A31"/>
                <w:sz w:val="17"/>
              </w:rPr>
              <w:t>Stopwatch</w:t>
            </w:r>
          </w:p>
        </w:tc>
        <w:tc>
          <w:tcPr>
            <w:tcW w:type="dxa" w:w="1900"/>
            <w:vAlign w:val="center"/>
          </w:tcPr>
          <w:p>
            <w:pPr>
              <w:spacing w:after="0" w:line="252" w:lineRule="auto"/>
              <w:jc w:val="center"/>
            </w:pPr>
            <w:r>
              <w:rPr>
                <w:rFonts w:ascii="Calibri" w:hAnsi="Calibri"/>
                <w:color w:val="152A31"/>
                <w:sz w:val="17"/>
              </w:rPr>
              <w:t>Under 3 minutes</w:t>
            </w:r>
          </w:p>
        </w:tc>
        <w:tc>
          <w:tcPr>
            <w:tcW w:type="dxa" w:w="1187"/>
            <w:vAlign w:val="center"/>
          </w:tcPr>
          <w:p>
            <w:pPr>
              <w:spacing w:after="0" w:line="252" w:lineRule="auto"/>
              <w:jc w:val="center"/>
            </w:pPr>
            <w:r>
              <w:rPr>
                <w:rFonts w:ascii="Calibri" w:hAnsi="Calibri"/>
                <w:color w:val="152A31"/>
                <w:sz w:val="17"/>
              </w:rPr>
              <w:t>—</w:t>
            </w:r>
          </w:p>
        </w:tc>
        <w:tc>
          <w:tcPr>
            <w:tcW w:type="dxa" w:w="1187"/>
            <w:vAlign w:val="center"/>
          </w:tcPr>
          <w:p>
            <w:pPr>
              <w:spacing w:after="0" w:line="252" w:lineRule="auto"/>
              <w:jc w:val="center"/>
            </w:pPr>
            <w:r>
              <w:rPr>
                <w:rFonts w:ascii="Calibri" w:hAnsi="Calibri"/>
                <w:color w:val="152A31"/>
                <w:sz w:val="17"/>
              </w:rPr>
              <w:t>—</w:t>
            </w:r>
          </w:p>
        </w:tc>
        <w:tc>
          <w:tcPr>
            <w:tcW w:type="dxa" w:w="1186"/>
            <w:vAlign w:val="center"/>
          </w:tcPr>
          <w:p>
            <w:pPr>
              <w:spacing w:after="0" w:line="252" w:lineRule="auto"/>
              <w:jc w:val="center"/>
            </w:pPr>
            <w:r>
              <w:rPr>
                <w:rFonts w:ascii="Calibri" w:hAnsi="Calibri"/>
                <w:color w:val="152A31"/>
                <w:sz w:val="17"/>
              </w:rPr>
              <w:t>—</w:t>
            </w:r>
          </w:p>
        </w:tc>
      </w:tr>
      <w:tr>
        <w:trPr>
          <w:cantSplit/>
        </w:trPr>
        <w:tc>
          <w:tcPr>
            <w:tcW w:type="dxa" w:w="2000"/>
            <w:vAlign w:val="center"/>
          </w:tcPr>
          <w:p>
            <w:pPr>
              <w:spacing w:after="0" w:line="252" w:lineRule="auto"/>
              <w:jc w:val="left"/>
            </w:pPr>
            <w:r>
              <w:rPr>
                <w:rFonts w:ascii="Calibri" w:hAnsi="Calibri"/>
                <w:color w:val="152A31"/>
                <w:sz w:val="17"/>
              </w:rPr>
              <w:t>Habitat explanation</w:t>
            </w:r>
          </w:p>
        </w:tc>
        <w:tc>
          <w:tcPr>
            <w:tcW w:type="dxa" w:w="1900"/>
            <w:vAlign w:val="center"/>
          </w:tcPr>
          <w:p>
            <w:pPr>
              <w:spacing w:after="0" w:line="252" w:lineRule="auto"/>
              <w:jc w:val="left"/>
            </w:pPr>
            <w:r>
              <w:rPr>
                <w:rFonts w:ascii="Calibri" w:hAnsi="Calibri"/>
                <w:color w:val="152A31"/>
                <w:sz w:val="17"/>
              </w:rPr>
              <w:t>Ask “Why did that fish fit?”</w:t>
            </w:r>
          </w:p>
        </w:tc>
        <w:tc>
          <w:tcPr>
            <w:tcW w:type="dxa" w:w="1900"/>
            <w:vAlign w:val="center"/>
          </w:tcPr>
          <w:p>
            <w:pPr>
              <w:spacing w:after="0" w:line="252" w:lineRule="auto"/>
              <w:jc w:val="left"/>
            </w:pPr>
            <w:r>
              <w:rPr>
                <w:rFonts w:ascii="Calibri" w:hAnsi="Calibri"/>
                <w:color w:val="152A31"/>
                <w:sz w:val="17"/>
              </w:rPr>
              <w:t>2/3 cite a measurement + adaptation</w:t>
            </w:r>
          </w:p>
        </w:tc>
        <w:tc>
          <w:tcPr>
            <w:tcW w:type="dxa" w:w="1187"/>
            <w:vAlign w:val="center"/>
          </w:tcPr>
          <w:p>
            <w:pPr>
              <w:spacing w:after="0" w:line="252" w:lineRule="auto"/>
              <w:jc w:val="center"/>
            </w:pPr>
            <w:r>
              <w:rPr>
                <w:rFonts w:ascii="Calibri" w:hAnsi="Calibri"/>
                <w:color w:val="152A31"/>
                <w:sz w:val="17"/>
              </w:rPr>
              <w:t>—</w:t>
            </w:r>
          </w:p>
        </w:tc>
        <w:tc>
          <w:tcPr>
            <w:tcW w:type="dxa" w:w="1187"/>
            <w:vAlign w:val="center"/>
          </w:tcPr>
          <w:p>
            <w:pPr>
              <w:spacing w:after="0" w:line="252" w:lineRule="auto"/>
              <w:jc w:val="center"/>
            </w:pPr>
            <w:r>
              <w:rPr>
                <w:rFonts w:ascii="Calibri" w:hAnsi="Calibri"/>
                <w:color w:val="152A31"/>
                <w:sz w:val="17"/>
              </w:rPr>
              <w:t>—</w:t>
            </w:r>
          </w:p>
        </w:tc>
        <w:tc>
          <w:tcPr>
            <w:tcW w:type="dxa" w:w="1186"/>
            <w:vAlign w:val="center"/>
          </w:tcPr>
          <w:p>
            <w:pPr>
              <w:spacing w:after="0" w:line="252" w:lineRule="auto"/>
              <w:jc w:val="center"/>
            </w:pPr>
            <w:r>
              <w:rPr>
                <w:rFonts w:ascii="Calibri" w:hAnsi="Calibri"/>
                <w:color w:val="152A31"/>
                <w:sz w:val="17"/>
              </w:rPr>
              <w:t>—</w:t>
            </w:r>
          </w:p>
        </w:tc>
      </w:tr>
      <w:tr>
        <w:trPr>
          <w:cantSplit/>
        </w:trPr>
        <w:tc>
          <w:tcPr>
            <w:tcW w:type="dxa" w:w="2000"/>
            <w:vAlign w:val="center"/>
          </w:tcPr>
          <w:p>
            <w:pPr>
              <w:spacing w:after="0" w:line="252" w:lineRule="auto"/>
              <w:jc w:val="left"/>
            </w:pPr>
            <w:r>
              <w:rPr>
                <w:rFonts w:ascii="Calibri" w:hAnsi="Calibri"/>
                <w:color w:val="152A31"/>
                <w:sz w:val="17"/>
              </w:rPr>
              <w:t>Route reasoning</w:t>
            </w:r>
          </w:p>
        </w:tc>
        <w:tc>
          <w:tcPr>
            <w:tcW w:type="dxa" w:w="1900"/>
            <w:vAlign w:val="center"/>
          </w:tcPr>
          <w:p>
            <w:pPr>
              <w:spacing w:after="0" w:line="252" w:lineRule="auto"/>
              <w:jc w:val="left"/>
            </w:pPr>
            <w:r>
              <w:rPr>
                <w:rFonts w:ascii="Calibri" w:hAnsi="Calibri"/>
                <w:color w:val="152A31"/>
                <w:sz w:val="17"/>
              </w:rPr>
              <w:t>Ask why they chose safe/fast</w:t>
            </w:r>
          </w:p>
        </w:tc>
        <w:tc>
          <w:tcPr>
            <w:tcW w:type="dxa" w:w="1900"/>
            <w:vAlign w:val="center"/>
          </w:tcPr>
          <w:p>
            <w:pPr>
              <w:spacing w:after="0" w:line="252" w:lineRule="auto"/>
              <w:jc w:val="left"/>
            </w:pPr>
            <w:r>
              <w:rPr>
                <w:rFonts w:ascii="Calibri" w:hAnsi="Calibri"/>
                <w:color w:val="152A31"/>
                <w:sz w:val="17"/>
              </w:rPr>
              <w:t>2/3 mention time and risk/freshness</w:t>
            </w:r>
          </w:p>
        </w:tc>
        <w:tc>
          <w:tcPr>
            <w:tcW w:type="dxa" w:w="1187"/>
            <w:vAlign w:val="center"/>
          </w:tcPr>
          <w:p>
            <w:pPr>
              <w:spacing w:after="0" w:line="252" w:lineRule="auto"/>
              <w:jc w:val="center"/>
            </w:pPr>
            <w:r>
              <w:rPr>
                <w:rFonts w:ascii="Calibri" w:hAnsi="Calibri"/>
                <w:color w:val="152A31"/>
                <w:sz w:val="17"/>
              </w:rPr>
              <w:t>—</w:t>
            </w:r>
          </w:p>
        </w:tc>
        <w:tc>
          <w:tcPr>
            <w:tcW w:type="dxa" w:w="1187"/>
            <w:vAlign w:val="center"/>
          </w:tcPr>
          <w:p>
            <w:pPr>
              <w:spacing w:after="0" w:line="252" w:lineRule="auto"/>
              <w:jc w:val="center"/>
            </w:pPr>
            <w:r>
              <w:rPr>
                <w:rFonts w:ascii="Calibri" w:hAnsi="Calibri"/>
                <w:color w:val="152A31"/>
                <w:sz w:val="17"/>
              </w:rPr>
              <w:t>—</w:t>
            </w:r>
          </w:p>
        </w:tc>
        <w:tc>
          <w:tcPr>
            <w:tcW w:type="dxa" w:w="1186"/>
            <w:vAlign w:val="center"/>
          </w:tcPr>
          <w:p>
            <w:pPr>
              <w:spacing w:after="0" w:line="252" w:lineRule="auto"/>
              <w:jc w:val="center"/>
            </w:pPr>
            <w:r>
              <w:rPr>
                <w:rFonts w:ascii="Calibri" w:hAnsi="Calibri"/>
                <w:color w:val="152A31"/>
                <w:sz w:val="17"/>
              </w:rPr>
              <w:t>—</w:t>
            </w:r>
          </w:p>
        </w:tc>
      </w:tr>
      <w:tr>
        <w:trPr>
          <w:cantSplit/>
        </w:trPr>
        <w:tc>
          <w:tcPr>
            <w:tcW w:type="dxa" w:w="2000"/>
            <w:vAlign w:val="center"/>
          </w:tcPr>
          <w:p>
            <w:pPr>
              <w:spacing w:after="0" w:line="252" w:lineRule="auto"/>
              <w:jc w:val="left"/>
            </w:pPr>
            <w:r>
              <w:rPr>
                <w:rFonts w:ascii="Calibri" w:hAnsi="Calibri"/>
                <w:color w:val="152A31"/>
                <w:sz w:val="17"/>
              </w:rPr>
              <w:t>Population comprehension</w:t>
            </w:r>
          </w:p>
        </w:tc>
        <w:tc>
          <w:tcPr>
            <w:tcW w:type="dxa" w:w="1900"/>
            <w:vAlign w:val="center"/>
          </w:tcPr>
          <w:p>
            <w:pPr>
              <w:spacing w:after="0" w:line="252" w:lineRule="auto"/>
              <w:jc w:val="left"/>
            </w:pPr>
            <w:r>
              <w:rPr>
                <w:rFonts w:ascii="Calibri" w:hAnsi="Calibri"/>
                <w:color w:val="152A31"/>
                <w:sz w:val="17"/>
              </w:rPr>
              <w:t>Ask effect of repeated catches</w:t>
            </w:r>
          </w:p>
        </w:tc>
        <w:tc>
          <w:tcPr>
            <w:tcW w:type="dxa" w:w="1900"/>
            <w:vAlign w:val="center"/>
          </w:tcPr>
          <w:p>
            <w:pPr>
              <w:spacing w:after="0" w:line="252" w:lineRule="auto"/>
              <w:jc w:val="left"/>
            </w:pPr>
            <w:r>
              <w:rPr>
                <w:rFonts w:ascii="Calibri" w:hAnsi="Calibri"/>
                <w:color w:val="152A31"/>
                <w:sz w:val="17"/>
              </w:rPr>
              <w:t>3/3 predict a decline</w:t>
            </w:r>
          </w:p>
        </w:tc>
        <w:tc>
          <w:tcPr>
            <w:tcW w:type="dxa" w:w="1187"/>
            <w:vAlign w:val="center"/>
          </w:tcPr>
          <w:p>
            <w:pPr>
              <w:spacing w:after="0" w:line="252" w:lineRule="auto"/>
              <w:jc w:val="center"/>
            </w:pPr>
            <w:r>
              <w:rPr>
                <w:rFonts w:ascii="Calibri" w:hAnsi="Calibri"/>
                <w:color w:val="152A31"/>
                <w:sz w:val="17"/>
              </w:rPr>
              <w:t>—</w:t>
            </w:r>
          </w:p>
        </w:tc>
        <w:tc>
          <w:tcPr>
            <w:tcW w:type="dxa" w:w="1187"/>
            <w:vAlign w:val="center"/>
          </w:tcPr>
          <w:p>
            <w:pPr>
              <w:spacing w:after="0" w:line="252" w:lineRule="auto"/>
              <w:jc w:val="center"/>
            </w:pPr>
            <w:r>
              <w:rPr>
                <w:rFonts w:ascii="Calibri" w:hAnsi="Calibri"/>
                <w:color w:val="152A31"/>
                <w:sz w:val="17"/>
              </w:rPr>
              <w:t>—</w:t>
            </w:r>
          </w:p>
        </w:tc>
        <w:tc>
          <w:tcPr>
            <w:tcW w:type="dxa" w:w="1186"/>
            <w:vAlign w:val="center"/>
          </w:tcPr>
          <w:p>
            <w:pPr>
              <w:spacing w:after="0" w:line="252" w:lineRule="auto"/>
              <w:jc w:val="center"/>
            </w:pPr>
            <w:r>
              <w:rPr>
                <w:rFonts w:ascii="Calibri" w:hAnsi="Calibri"/>
                <w:color w:val="152A31"/>
                <w:sz w:val="17"/>
              </w:rPr>
              <w:t>—</w:t>
            </w:r>
          </w:p>
        </w:tc>
      </w:tr>
      <w:tr>
        <w:trPr>
          <w:cantSplit/>
        </w:trPr>
        <w:tc>
          <w:tcPr>
            <w:tcW w:type="dxa" w:w="2000"/>
            <w:vAlign w:val="center"/>
          </w:tcPr>
          <w:p>
            <w:pPr>
              <w:spacing w:after="0" w:line="252" w:lineRule="auto"/>
              <w:jc w:val="left"/>
            </w:pPr>
            <w:r>
              <w:rPr>
                <w:rFonts w:ascii="Calibri" w:hAnsi="Calibri"/>
                <w:color w:val="152A31"/>
                <w:sz w:val="17"/>
              </w:rPr>
              <w:t>Control errors</w:t>
            </w:r>
          </w:p>
        </w:tc>
        <w:tc>
          <w:tcPr>
            <w:tcW w:type="dxa" w:w="1900"/>
            <w:vAlign w:val="center"/>
          </w:tcPr>
          <w:p>
            <w:pPr>
              <w:spacing w:after="0" w:line="252" w:lineRule="auto"/>
              <w:jc w:val="left"/>
            </w:pPr>
            <w:r>
              <w:rPr>
                <w:rFonts w:ascii="Calibri" w:hAnsi="Calibri"/>
                <w:color w:val="152A31"/>
                <w:sz w:val="17"/>
              </w:rPr>
              <w:t>Count wrong/unclear actions</w:t>
            </w:r>
          </w:p>
        </w:tc>
        <w:tc>
          <w:tcPr>
            <w:tcW w:type="dxa" w:w="1900"/>
            <w:vAlign w:val="center"/>
          </w:tcPr>
          <w:p>
            <w:pPr>
              <w:spacing w:after="0" w:line="252" w:lineRule="auto"/>
              <w:jc w:val="left"/>
            </w:pPr>
            <w:r>
              <w:rPr>
                <w:rFonts w:ascii="Calibri" w:hAnsi="Calibri"/>
                <w:color w:val="152A31"/>
                <w:sz w:val="17"/>
              </w:rPr>
              <w:t>No repeated blocker</w:t>
            </w:r>
          </w:p>
        </w:tc>
        <w:tc>
          <w:tcPr>
            <w:tcW w:type="dxa" w:w="1187"/>
            <w:vAlign w:val="center"/>
          </w:tcPr>
          <w:p>
            <w:pPr>
              <w:spacing w:after="0" w:line="252" w:lineRule="auto"/>
              <w:jc w:val="center"/>
            </w:pPr>
            <w:r>
              <w:rPr>
                <w:rFonts w:ascii="Calibri" w:hAnsi="Calibri"/>
                <w:color w:val="152A31"/>
                <w:sz w:val="17"/>
              </w:rPr>
              <w:t>—</w:t>
            </w:r>
          </w:p>
        </w:tc>
        <w:tc>
          <w:tcPr>
            <w:tcW w:type="dxa" w:w="1187"/>
            <w:vAlign w:val="center"/>
          </w:tcPr>
          <w:p>
            <w:pPr>
              <w:spacing w:after="0" w:line="252" w:lineRule="auto"/>
              <w:jc w:val="center"/>
            </w:pPr>
            <w:r>
              <w:rPr>
                <w:rFonts w:ascii="Calibri" w:hAnsi="Calibri"/>
                <w:color w:val="152A31"/>
                <w:sz w:val="17"/>
              </w:rPr>
              <w:t>—</w:t>
            </w:r>
          </w:p>
        </w:tc>
        <w:tc>
          <w:tcPr>
            <w:tcW w:type="dxa" w:w="1186"/>
            <w:vAlign w:val="center"/>
          </w:tcPr>
          <w:p>
            <w:pPr>
              <w:spacing w:after="0" w:line="252" w:lineRule="auto"/>
              <w:jc w:val="center"/>
            </w:pPr>
            <w:r>
              <w:rPr>
                <w:rFonts w:ascii="Calibri" w:hAnsi="Calibri"/>
                <w:color w:val="152A31"/>
                <w:sz w:val="17"/>
              </w:rPr>
              <w:t>—</w:t>
            </w:r>
          </w:p>
        </w:tc>
      </w:tr>
      <w:tr>
        <w:trPr>
          <w:cantSplit/>
        </w:trPr>
        <w:tc>
          <w:tcPr>
            <w:tcW w:type="dxa" w:w="2000"/>
            <w:vAlign w:val="center"/>
          </w:tcPr>
          <w:p>
            <w:pPr>
              <w:spacing w:after="0" w:line="252" w:lineRule="auto"/>
              <w:jc w:val="left"/>
            </w:pPr>
            <w:r>
              <w:rPr>
                <w:rFonts w:ascii="Calibri" w:hAnsi="Calibri"/>
                <w:color w:val="152A31"/>
                <w:sz w:val="17"/>
              </w:rPr>
              <w:t>Readability/accessibility</w:t>
            </w:r>
          </w:p>
        </w:tc>
        <w:tc>
          <w:tcPr>
            <w:tcW w:type="dxa" w:w="1900"/>
            <w:vAlign w:val="center"/>
          </w:tcPr>
          <w:p>
            <w:pPr>
              <w:spacing w:after="0" w:line="252" w:lineRule="auto"/>
              <w:jc w:val="left"/>
            </w:pPr>
            <w:r>
              <w:rPr>
                <w:rFonts w:ascii="Calibri" w:hAnsi="Calibri"/>
                <w:color w:val="152A31"/>
                <w:sz w:val="17"/>
              </w:rPr>
              <w:t>Toggle contrast/reduced motion</w:t>
            </w:r>
          </w:p>
        </w:tc>
        <w:tc>
          <w:tcPr>
            <w:tcW w:type="dxa" w:w="1900"/>
            <w:vAlign w:val="center"/>
          </w:tcPr>
          <w:p>
            <w:pPr>
              <w:spacing w:after="0" w:line="252" w:lineRule="auto"/>
              <w:jc w:val="left"/>
            </w:pPr>
            <w:r>
              <w:rPr>
                <w:rFonts w:ascii="Calibri" w:hAnsi="Calibri"/>
                <w:color w:val="152A31"/>
                <w:sz w:val="17"/>
              </w:rPr>
              <w:t>All information remains available</w:t>
            </w:r>
          </w:p>
        </w:tc>
        <w:tc>
          <w:tcPr>
            <w:tcW w:type="dxa" w:w="1187"/>
            <w:vAlign w:val="center"/>
          </w:tcPr>
          <w:p>
            <w:pPr>
              <w:spacing w:after="0" w:line="252" w:lineRule="auto"/>
              <w:jc w:val="center"/>
            </w:pPr>
            <w:r>
              <w:rPr>
                <w:rFonts w:ascii="Calibri" w:hAnsi="Calibri"/>
                <w:color w:val="152A31"/>
                <w:sz w:val="17"/>
              </w:rPr>
              <w:t>—</w:t>
            </w:r>
          </w:p>
        </w:tc>
        <w:tc>
          <w:tcPr>
            <w:tcW w:type="dxa" w:w="1187"/>
            <w:vAlign w:val="center"/>
          </w:tcPr>
          <w:p>
            <w:pPr>
              <w:spacing w:after="0" w:line="252" w:lineRule="auto"/>
              <w:jc w:val="center"/>
            </w:pPr>
            <w:r>
              <w:rPr>
                <w:rFonts w:ascii="Calibri" w:hAnsi="Calibri"/>
                <w:color w:val="152A31"/>
                <w:sz w:val="17"/>
              </w:rPr>
              <w:t>—</w:t>
            </w:r>
          </w:p>
        </w:tc>
        <w:tc>
          <w:tcPr>
            <w:tcW w:type="dxa" w:w="1186"/>
            <w:vAlign w:val="center"/>
          </w:tcPr>
          <w:p>
            <w:pPr>
              <w:spacing w:after="0" w:line="252" w:lineRule="auto"/>
              <w:jc w:val="center"/>
            </w:pPr>
            <w:r>
              <w:rPr>
                <w:rFonts w:ascii="Calibri" w:hAnsi="Calibri"/>
                <w:color w:val="152A31"/>
                <w:sz w:val="17"/>
              </w:rPr>
              <w:t>—</w:t>
            </w:r>
          </w:p>
        </w:tc>
      </w:tr>
      <w:tr>
        <w:trPr>
          <w:cantSplit/>
        </w:trPr>
        <w:tc>
          <w:tcPr>
            <w:tcW w:type="dxa" w:w="2000"/>
            <w:vAlign w:val="center"/>
          </w:tcPr>
          <w:p>
            <w:pPr>
              <w:spacing w:after="0" w:line="252" w:lineRule="auto"/>
              <w:jc w:val="left"/>
            </w:pPr>
            <w:r>
              <w:rPr>
                <w:rFonts w:ascii="Calibri" w:hAnsi="Calibri"/>
                <w:color w:val="152A31"/>
                <w:sz w:val="17"/>
              </w:rPr>
              <w:t>Enjoyment</w:t>
            </w:r>
          </w:p>
        </w:tc>
        <w:tc>
          <w:tcPr>
            <w:tcW w:type="dxa" w:w="1900"/>
            <w:vAlign w:val="center"/>
          </w:tcPr>
          <w:p>
            <w:pPr>
              <w:spacing w:after="0" w:line="252" w:lineRule="auto"/>
              <w:jc w:val="left"/>
            </w:pPr>
            <w:r>
              <w:rPr>
                <w:rFonts w:ascii="Calibri" w:hAnsi="Calibri"/>
                <w:color w:val="152A31"/>
                <w:sz w:val="17"/>
              </w:rPr>
              <w:t>1–5 rating plus reason</w:t>
            </w:r>
          </w:p>
        </w:tc>
        <w:tc>
          <w:tcPr>
            <w:tcW w:type="dxa" w:w="1900"/>
            <w:vAlign w:val="center"/>
          </w:tcPr>
          <w:p>
            <w:pPr>
              <w:spacing w:after="0" w:line="252" w:lineRule="auto"/>
              <w:jc w:val="center"/>
            </w:pPr>
            <w:r>
              <w:rPr>
                <w:rFonts w:ascii="Calibri" w:hAnsi="Calibri"/>
                <w:color w:val="152A31"/>
                <w:sz w:val="17"/>
              </w:rPr>
              <w:t>Mean at least 3.5</w:t>
            </w:r>
          </w:p>
        </w:tc>
        <w:tc>
          <w:tcPr>
            <w:tcW w:type="dxa" w:w="1187"/>
            <w:vAlign w:val="center"/>
          </w:tcPr>
          <w:p>
            <w:pPr>
              <w:spacing w:after="0" w:line="252" w:lineRule="auto"/>
              <w:jc w:val="center"/>
            </w:pPr>
            <w:r>
              <w:rPr>
                <w:rFonts w:ascii="Calibri" w:hAnsi="Calibri"/>
                <w:color w:val="152A31"/>
                <w:sz w:val="17"/>
              </w:rPr>
              <w:t>—</w:t>
            </w:r>
          </w:p>
        </w:tc>
        <w:tc>
          <w:tcPr>
            <w:tcW w:type="dxa" w:w="1187"/>
            <w:vAlign w:val="center"/>
          </w:tcPr>
          <w:p>
            <w:pPr>
              <w:spacing w:after="0" w:line="252" w:lineRule="auto"/>
              <w:jc w:val="center"/>
            </w:pPr>
            <w:r>
              <w:rPr>
                <w:rFonts w:ascii="Calibri" w:hAnsi="Calibri"/>
                <w:color w:val="152A31"/>
                <w:sz w:val="17"/>
              </w:rPr>
              <w:t>—</w:t>
            </w:r>
          </w:p>
        </w:tc>
        <w:tc>
          <w:tcPr>
            <w:tcW w:type="dxa" w:w="1186"/>
            <w:vAlign w:val="center"/>
          </w:tcPr>
          <w:p>
            <w:pPr>
              <w:spacing w:after="0" w:line="252" w:lineRule="auto"/>
              <w:jc w:val="center"/>
            </w:pPr>
            <w:r>
              <w:rPr>
                <w:rFonts w:ascii="Calibri" w:hAnsi="Calibri"/>
                <w:color w:val="152A31"/>
                <w:sz w:val="17"/>
              </w:rPr>
              <w:t>—</w:t>
            </w:r>
          </w:p>
        </w:tc>
      </w:tr>
    </w:tbl>
    <w:p>
      <w:pPr>
        <w:spacing w:before="0" w:after="40"/>
      </w:pPr>
    </w:p>
    <w:p>
      <w:r>
        <w:rPr>
          <w:rFonts w:ascii="Calibri" w:hAnsi="Calibri"/>
        </w:rPr>
        <w:t>For each test, record the observation, not only the score. Convert each repeated issue into: severity, reproduction steps, change, and retest result.</w:t>
      </w:r>
    </w:p>
    <w:p>
      <w:pPr>
        <w:pStyle w:val="Heading1"/>
      </w:pPr>
      <w:r>
        <w:rPr>
          <w:rFonts w:ascii="Calibri" w:hAnsi="Calibri"/>
        </w:rPr>
        <w:t>9. Reflection and evaluation</w:t>
      </w:r>
    </w:p>
    <w:p>
      <w:pPr>
        <w:pStyle w:val="Heading2"/>
      </w:pPr>
      <w:r>
        <w:rPr>
          <w:rFonts w:ascii="Calibri" w:hAnsi="Calibri"/>
        </w:rPr>
        <w:t>What is effective</w:t>
      </w:r>
    </w:p>
    <w:p>
      <w:r>
        <w:rPr>
          <w:rFonts w:ascii="Calibri" w:hAnsi="Calibri"/>
        </w:rPr>
        <w:t>The strongest decision was integrating learning into the same decisions that already make a fishing-delivery game interesting. The survey controls where the player fishes; route mathematics controls travel; and population data controls catch/release decisions. This is more effective than pausing the game for unrelated multiple-choice questions.</w:t>
      </w:r>
    </w:p>
    <w:p>
      <w:r>
        <w:rPr>
          <w:rFonts w:ascii="Calibri" w:hAnsi="Calibri"/>
        </w:rPr>
        <w:t>The deterministic architecture also improved quality. Rules can be tested without Canvas, audio, the DOM, or wall-clock time. Central balance values made the larger lake, six tiers, freshness, hazard risk, and population change easier to revise without searching through interface code.</w:t>
      </w:r>
    </w:p>
    <w:p>
      <w:r>
        <w:rPr>
          <w:rFonts w:ascii="Calibri" w:hAnsi="Calibri"/>
        </w:rPr>
        <w:t>The interface now gives a clear progression of information and uses written non-colour feedback. The new atlas gives each species a recognisable identity. Visible but inaccessible deep fish create curiosity while the labelled boundary explains how to reach them.</w:t>
      </w:r>
    </w:p>
    <w:p>
      <w:pPr>
        <w:pStyle w:val="Heading2"/>
      </w:pPr>
      <w:r>
        <w:rPr>
          <w:rFonts w:ascii="Calibri" w:hAnsi="Calibri"/>
        </w:rPr>
        <w:t>Challenges and solutions</w:t>
      </w:r>
    </w:p>
    <w:p>
      <w:r>
        <w:rPr>
          <w:rFonts w:ascii="Calibri" w:hAnsi="Calibri"/>
          <w:b/>
        </w:rPr>
        <w:t>Challenge: expansion could make the game confusing.</w:t>
      </w:r>
      <w:r>
        <w:rPr>
          <w:rFonts w:ascii="Calibri" w:hAnsi="Calibri"/>
        </w:rPr>
        <w:t xml:space="preserve"> Solution: use the same evidence-card structure at every survey, preserve one main action on each overlay, and place detailed information in the optional field guide.</w:t>
      </w:r>
    </w:p>
    <w:p>
      <w:r>
        <w:rPr>
          <w:rFonts w:ascii="Calibri" w:hAnsi="Calibri"/>
          <w:b/>
        </w:rPr>
        <w:t>Challenge: a fast route was always the obvious choice.</w:t>
      </w:r>
      <w:r>
        <w:rPr>
          <w:rFonts w:ascii="Calibri" w:hAnsi="Calibri"/>
        </w:rPr>
        <w:t xml:space="preserve"> Solution: make speed improve freshness but multiply hazard damage by 1.45, while the survey route reduces damage to 0.70.</w:t>
      </w:r>
    </w:p>
    <w:p>
      <w:r>
        <w:rPr>
          <w:rFonts w:ascii="Calibri" w:hAnsi="Calibri"/>
          <w:b/>
        </w:rPr>
        <w:t>Challenge: the first diverse-fish prototype put every species at every site.</w:t>
      </w:r>
      <w:r>
        <w:rPr>
          <w:rFonts w:ascii="Calibri" w:hAnsi="Calibri"/>
        </w:rPr>
        <w:t xml:space="preserve"> Solution: define three scientifically plausible residents per site, spawn two of each, and make later surveys follow the contract resident. This preserves a busy lake without contradicting the habitat evidence.</w:t>
      </w:r>
    </w:p>
    <w:p>
      <w:r>
        <w:rPr>
          <w:rFonts w:ascii="Calibri" w:hAnsi="Calibri"/>
          <w:b/>
        </w:rPr>
        <w:t>Challenge: an early route forecast measured a different journey from the delivered catch.</w:t>
      </w:r>
      <w:r>
        <w:rPr>
          <w:rFonts w:ascii="Calibri" w:hAnsi="Calibri"/>
        </w:rPr>
        <w:t xml:space="preserve"> Solution: open planning after the catch and calculate catch-site-to-destination time with the same maximum-speed and freshness model used by the simulation.</w:t>
      </w:r>
    </w:p>
    <w:p>
      <w:r>
        <w:rPr>
          <w:rFonts w:ascii="Calibri" w:hAnsi="Calibri"/>
          <w:b/>
        </w:rPr>
        <w:t>Challenge: “sustainability” could become decorative text.</w:t>
      </w:r>
      <w:r>
        <w:rPr>
          <w:rFonts w:ascii="Calibri" w:hAnsi="Calibri"/>
        </w:rPr>
        <w:t xml:space="preserve"> Solution: attach a numerical population cost to catching, a protection threshold, recovery to release/delivery/harbor return, protected-contract filtering, a field-guide display, and a currency bonus. If all unlocked stocks are protected, no impossible catch contract is created; repeated harbor visits visibly restore a viable stock.</w:t>
      </w:r>
    </w:p>
    <w:p>
      <w:r>
        <w:rPr>
          <w:rFonts w:ascii="Calibri" w:hAnsi="Calibri"/>
          <w:b/>
        </w:rPr>
        <w:t>Challenge: existing save files lacked new learning data.</w:t>
      </w:r>
      <w:r>
        <w:rPr>
          <w:rFonts w:ascii="Calibri" w:hAnsi="Calibri"/>
        </w:rPr>
        <w:t xml:space="preserve"> Solution: bump to version 5, validate every field, and supply safe 100-population and zero-mastery defaults.</w:t>
      </w:r>
    </w:p>
    <w:p>
      <w:r>
        <w:rPr>
          <w:rFonts w:ascii="Calibri" w:hAnsi="Calibri"/>
          <w:b/>
        </w:rPr>
        <w:t>Challenge: nine fish based on three atlas cells would not be genuinely distinct.</w:t>
      </w:r>
      <w:r>
        <w:rPr>
          <w:rFonts w:ascii="Calibri" w:hAnsi="Calibri"/>
        </w:rPr>
        <w:t xml:space="preserve"> Solution: produce a new original 3 × 3 atlas and map each typed species to one cell.</w:t>
      </w:r>
    </w:p>
    <w:p>
      <w:pPr>
        <w:pStyle w:val="Heading2"/>
      </w:pPr>
      <w:r>
        <w:rPr>
          <w:rFonts w:ascii="Calibri" w:hAnsi="Calibri"/>
        </w:rPr>
        <w:t>Limitations</w:t>
      </w:r>
    </w:p>
    <w:p>
      <w:r>
        <w:rPr>
          <w:rFonts w:ascii="Calibri" w:hAnsi="Calibri"/>
        </w:rPr>
        <w:t xml:space="preserve">The ecological model is simplified. A 0–100 index does not model age structure, reproduction, carrying capacity, predator–prey feedback, seasonal variation, or sampling uncertainty. The route display uses scaled in-game values rather than a real lake. These simplifications are acceptable for the audience only if the interface calls them population and route </w:t>
      </w:r>
      <w:r>
        <w:rPr>
          <w:rFonts w:ascii="Calibri" w:hAnsi="Calibri"/>
          <w:b/>
        </w:rPr>
        <w:t>estimates</w:t>
      </w:r>
      <w:r>
        <w:rPr>
          <w:rFonts w:ascii="Calibri" w:hAnsi="Calibri"/>
        </w:rPr>
        <w:t>, not real-world measurements.</w:t>
      </w:r>
    </w:p>
    <w:p>
      <w:r>
        <w:rPr>
          <w:rFonts w:ascii="Calibri" w:hAnsi="Calibri"/>
        </w:rPr>
        <w:t>Fish currently share a general swimming algorithm; silhouette, depth, and speed vary more than behaviour. The lamp primarily changes visibility rather than scientific sampling. Three hazards are fixed, so expert players can memorise them. Most importantly, the human playtest table is pending and must be completed before making claims about learning effectiveness.</w:t>
      </w:r>
    </w:p>
    <w:p>
      <w:pPr>
        <w:pStyle w:val="Heading2"/>
      </w:pPr>
      <w:r>
        <w:rPr>
          <w:rFonts w:ascii="Calibri" w:hAnsi="Calibri"/>
        </w:rPr>
        <w:t>Realistic future improvements</w:t>
      </w:r>
    </w:p>
    <w:p>
      <w:pPr>
        <w:pStyle w:val="ListNumber"/>
        <w:numPr>
          <w:ilvl w:val="0"/>
          <w:numId w:val="14"/>
        </w:numPr>
      </w:pPr>
      <w:r>
        <w:rPr>
          <w:rFonts w:ascii="Calibri" w:hAnsi="Calibri"/>
        </w:rPr>
        <w:t>Run the documented student playtest and revise the two most frequent issues.</w:t>
      </w:r>
    </w:p>
    <w:p>
      <w:pPr>
        <w:pStyle w:val="ListNumber"/>
        <w:numPr>
          <w:ilvl w:val="0"/>
          <w:numId w:val="14"/>
        </w:numPr>
      </w:pPr>
      <w:r>
        <w:rPr>
          <w:rFonts w:ascii="Calibri" w:hAnsi="Calibri"/>
        </w:rPr>
        <w:t>Add deterministic environmental events such as a cold front or algal bloom that change readings and require a revised hypothesis.</w:t>
      </w:r>
    </w:p>
    <w:p>
      <w:pPr>
        <w:pStyle w:val="ListNumber"/>
        <w:numPr>
          <w:ilvl w:val="0"/>
          <w:numId w:val="14"/>
        </w:numPr>
      </w:pPr>
      <w:r>
        <w:rPr>
          <w:rFonts w:ascii="Calibri" w:hAnsi="Calibri"/>
        </w:rPr>
        <w:t>Give fish behaviour rules linked to adaptation, such as schooling in clear water or holding position in a current.</w:t>
      </w:r>
    </w:p>
    <w:p>
      <w:pPr>
        <w:pStyle w:val="ListNumber"/>
        <w:numPr>
          <w:ilvl w:val="0"/>
          <w:numId w:val="14"/>
        </w:numPr>
      </w:pPr>
      <w:r>
        <w:rPr>
          <w:rFonts w:ascii="Calibri" w:hAnsi="Calibri"/>
        </w:rPr>
        <w:t>Add an optional worked route calculation where players enter the time before comparing it.</w:t>
      </w:r>
    </w:p>
    <w:p>
      <w:pPr>
        <w:pStyle w:val="ListNumber"/>
        <w:numPr>
          <w:ilvl w:val="0"/>
          <w:numId w:val="14"/>
        </w:numPr>
      </w:pPr>
      <w:r>
        <w:rPr>
          <w:rFonts w:ascii="Calibri" w:hAnsi="Calibri"/>
        </w:rPr>
        <w:t>Model food-web effects carefully, with visual explanations and new tests.</w:t>
      </w:r>
    </w:p>
    <w:p>
      <w:pPr>
        <w:pStyle w:val="ListNumber"/>
        <w:numPr>
          <w:ilvl w:val="0"/>
          <w:numId w:val="14"/>
        </w:numPr>
      </w:pPr>
      <w:r>
        <w:rPr>
          <w:rFonts w:ascii="Calibri" w:hAnsi="Calibri"/>
        </w:rPr>
        <w:t>Improve soundscapes per ecosystem while retaining mute and visual warnings.</w:t>
      </w:r>
    </w:p>
    <w:p>
      <w:pPr>
        <w:pStyle w:val="ListNumber"/>
        <w:numPr>
          <w:ilvl w:val="0"/>
          <w:numId w:val="14"/>
        </w:numPr>
      </w:pPr>
      <w:r>
        <w:rPr>
          <w:rFonts w:ascii="Calibri" w:hAnsi="Calibri"/>
        </w:rPr>
        <w:t>Add a downloadable season summary for teacher discussion, without collecting personal data.</w:t>
      </w:r>
    </w:p>
    <w:p>
      <w:pPr>
        <w:pStyle w:val="Heading1"/>
      </w:pPr>
      <w:r>
        <w:rPr>
          <w:rFonts w:ascii="Calibri" w:hAnsi="Calibri"/>
        </w:rPr>
        <w:t>10. Rubric evidence map</w:t>
      </w:r>
    </w:p>
    <w:tbl>
      <w:tblPr>
        <w:tblStyle w:val="TableGrid"/>
        <w:tblW w:type="dxa" w:w="9360"/>
        <w:jc w:val="left"/>
        <w:tblLayout w:type="fixed"/>
        <w:tblLook w:firstColumn="1" w:firstRow="1" w:lastColumn="0" w:lastRow="0" w:noHBand="0" w:noVBand="1" w:val="04A0"/>
        <w:tblInd w:type="dxa" w:w="120"/>
        <w:tblCellMar>
          <w:top w:type="dxa" w:w="80"/>
          <w:bottom w:type="dxa" w:w="80"/>
          <w:start w:type="dxa" w:w="120"/>
          <w:end w:type="dxa" w:w="120"/>
        </w:tblCellMar>
      </w:tblPr>
      <w:tblGrid>
        <w:gridCol w:w="3303"/>
        <w:gridCol w:w="6057"/>
      </w:tblGrid>
      <w:tr>
        <w:trPr>
          <w:tblHeader w:val="true"/>
          <w:cantSplit/>
        </w:trPr>
        <w:tc>
          <w:tcPr>
            <w:tcW w:type="dxa" w:w="3303"/>
            <w:shd w:fill="0B2630"/>
            <w:vAlign w:val="center"/>
          </w:tcPr>
          <w:p>
            <w:pPr>
              <w:spacing w:after="0" w:line="252" w:lineRule="auto"/>
              <w:jc w:val="left"/>
            </w:pPr>
            <w:r>
              <w:rPr>
                <w:rFonts w:ascii="Calibri" w:hAnsi="Calibri"/>
                <w:b/>
                <w:color w:val="FFFFFF"/>
                <w:sz w:val="18"/>
              </w:rPr>
              <w:t>Rubric criterion</w:t>
            </w:r>
          </w:p>
        </w:tc>
        <w:tc>
          <w:tcPr>
            <w:tcW w:type="dxa" w:w="6057"/>
            <w:shd w:fill="0B2630"/>
            <w:vAlign w:val="center"/>
          </w:tcPr>
          <w:p>
            <w:pPr>
              <w:spacing w:after="0" w:line="252" w:lineRule="auto"/>
              <w:jc w:val="left"/>
            </w:pPr>
            <w:r>
              <w:rPr>
                <w:rFonts w:ascii="Calibri" w:hAnsi="Calibri"/>
                <w:b/>
                <w:color w:val="FFFFFF"/>
                <w:sz w:val="18"/>
              </w:rPr>
              <w:t>Evidence in this submission</w:t>
            </w:r>
          </w:p>
        </w:tc>
      </w:tr>
      <w:tr>
        <w:trPr>
          <w:cantSplit/>
        </w:trPr>
        <w:tc>
          <w:tcPr>
            <w:tcW w:type="dxa" w:w="3303"/>
            <w:vAlign w:val="center"/>
          </w:tcPr>
          <w:p>
            <w:pPr>
              <w:spacing w:after="0" w:line="252" w:lineRule="auto"/>
              <w:jc w:val="left"/>
            </w:pPr>
            <w:r>
              <w:rPr>
                <w:rFonts w:ascii="Calibri" w:hAnsi="Calibri"/>
                <w:color w:val="152A31"/>
                <w:sz w:val="18"/>
              </w:rPr>
              <w:t>Game purpose and STEM learning</w:t>
            </w:r>
          </w:p>
        </w:tc>
        <w:tc>
          <w:tcPr>
            <w:tcW w:type="dxa" w:w="6057"/>
            <w:vAlign w:val="center"/>
          </w:tcPr>
          <w:p>
            <w:pPr>
              <w:spacing w:after="0" w:line="252" w:lineRule="auto"/>
              <w:jc w:val="left"/>
            </w:pPr>
            <w:r>
              <w:rPr>
                <w:rFonts w:ascii="Calibri" w:hAnsi="Calibri"/>
                <w:color w:val="152A31"/>
                <w:sz w:val="18"/>
              </w:rPr>
              <w:t>Sections 1–2; playable surveys, route maths, populations, season evaluation</w:t>
            </w:r>
          </w:p>
        </w:tc>
      </w:tr>
      <w:tr>
        <w:trPr>
          <w:cantSplit/>
        </w:trPr>
        <w:tc>
          <w:tcPr>
            <w:tcW w:type="dxa" w:w="3303"/>
            <w:vAlign w:val="center"/>
          </w:tcPr>
          <w:p>
            <w:pPr>
              <w:spacing w:after="0" w:line="252" w:lineRule="auto"/>
              <w:jc w:val="left"/>
            </w:pPr>
            <w:r>
              <w:rPr>
                <w:rFonts w:ascii="Calibri" w:hAnsi="Calibri"/>
                <w:color w:val="152A31"/>
                <w:sz w:val="18"/>
              </w:rPr>
              <w:t>Target audience</w:t>
            </w:r>
          </w:p>
        </w:tc>
        <w:tc>
          <w:tcPr>
            <w:tcW w:type="dxa" w:w="6057"/>
            <w:vAlign w:val="center"/>
          </w:tcPr>
          <w:p>
            <w:pPr>
              <w:spacing w:after="0" w:line="252" w:lineRule="auto"/>
              <w:jc w:val="left"/>
            </w:pPr>
            <w:r>
              <w:rPr>
                <w:rFonts w:ascii="Calibri" w:hAnsi="Calibri"/>
                <w:color w:val="152A31"/>
                <w:sz w:val="18"/>
              </w:rPr>
              <w:t>Section 2; scaffolded language, short loop, accessibility</w:t>
            </w:r>
          </w:p>
        </w:tc>
      </w:tr>
      <w:tr>
        <w:trPr>
          <w:cantSplit/>
        </w:trPr>
        <w:tc>
          <w:tcPr>
            <w:tcW w:type="dxa" w:w="3303"/>
            <w:vAlign w:val="center"/>
          </w:tcPr>
          <w:p>
            <w:pPr>
              <w:spacing w:after="0" w:line="252" w:lineRule="auto"/>
              <w:jc w:val="left"/>
            </w:pPr>
            <w:r>
              <w:rPr>
                <w:rFonts w:ascii="Calibri" w:hAnsi="Calibri"/>
                <w:color w:val="152A31"/>
                <w:sz w:val="18"/>
              </w:rPr>
              <w:t>Gameplay mechanics</w:t>
            </w:r>
          </w:p>
        </w:tc>
        <w:tc>
          <w:tcPr>
            <w:tcW w:type="dxa" w:w="6057"/>
            <w:vAlign w:val="center"/>
          </w:tcPr>
          <w:p>
            <w:pPr>
              <w:spacing w:after="0" w:line="252" w:lineRule="auto"/>
              <w:jc w:val="left"/>
            </w:pPr>
            <w:r>
              <w:rPr>
                <w:rFonts w:ascii="Calibri" w:hAnsi="Calibri"/>
                <w:color w:val="152A31"/>
                <w:sz w:val="18"/>
              </w:rPr>
              <w:t xml:space="preserve">Sections 4–5 and </w:t>
            </w:r>
            <w:r>
              <w:rPr>
                <w:rFonts w:ascii="Liberation Mono" w:hAnsi="Liberation Mono"/>
                <w:color w:val="173F49"/>
                <w:sz w:val="17"/>
                <w:shd w:fill="EEF2EE"/>
              </w:rPr>
              <w:t>Docs/Game-Brief.md</w:t>
            </w:r>
          </w:p>
        </w:tc>
      </w:tr>
      <w:tr>
        <w:trPr>
          <w:cantSplit/>
        </w:trPr>
        <w:tc>
          <w:tcPr>
            <w:tcW w:type="dxa" w:w="3303"/>
            <w:vAlign w:val="center"/>
          </w:tcPr>
          <w:p>
            <w:pPr>
              <w:spacing w:after="0" w:line="252" w:lineRule="auto"/>
              <w:jc w:val="left"/>
            </w:pPr>
            <w:r>
              <w:rPr>
                <w:rFonts w:ascii="Calibri" w:hAnsi="Calibri"/>
                <w:color w:val="152A31"/>
                <w:sz w:val="18"/>
              </w:rPr>
              <w:t>Design plans and assets</w:t>
            </w:r>
          </w:p>
        </w:tc>
        <w:tc>
          <w:tcPr>
            <w:tcW w:type="dxa" w:w="6057"/>
            <w:vAlign w:val="center"/>
          </w:tcPr>
          <w:p>
            <w:pPr>
              <w:spacing w:after="0" w:line="252" w:lineRule="auto"/>
              <w:jc w:val="left"/>
            </w:pPr>
            <w:r>
              <w:rPr>
                <w:rFonts w:ascii="Calibri" w:hAnsi="Calibri"/>
                <w:color w:val="152A31"/>
                <w:sz w:val="18"/>
              </w:rPr>
              <w:t xml:space="preserve">Sections 6–7; </w:t>
            </w:r>
            <w:r>
              <w:rPr>
                <w:rFonts w:ascii="Liberation Mono" w:hAnsi="Liberation Mono"/>
                <w:color w:val="173F49"/>
                <w:sz w:val="17"/>
                <w:shd w:fill="EEF2EE"/>
              </w:rPr>
              <w:t>Docs/Asset-Manifest.md</w:t>
            </w:r>
            <w:r>
              <w:rPr>
                <w:rFonts w:ascii="Calibri" w:hAnsi="Calibri"/>
                <w:color w:val="152A31"/>
                <w:sz w:val="18"/>
              </w:rPr>
              <w:t>; typed balance tables</w:t>
            </w:r>
          </w:p>
        </w:tc>
      </w:tr>
      <w:tr>
        <w:trPr>
          <w:cantSplit/>
        </w:trPr>
        <w:tc>
          <w:tcPr>
            <w:tcW w:type="dxa" w:w="3303"/>
            <w:vAlign w:val="center"/>
          </w:tcPr>
          <w:p>
            <w:pPr>
              <w:spacing w:after="0" w:line="252" w:lineRule="auto"/>
              <w:jc w:val="left"/>
            </w:pPr>
            <w:r>
              <w:rPr>
                <w:rFonts w:ascii="Calibri" w:hAnsi="Calibri"/>
                <w:color w:val="152A31"/>
                <w:sz w:val="18"/>
              </w:rPr>
              <w:t>Algorithms/pseudocode</w:t>
            </w:r>
          </w:p>
        </w:tc>
        <w:tc>
          <w:tcPr>
            <w:tcW w:type="dxa" w:w="6057"/>
            <w:vAlign w:val="center"/>
          </w:tcPr>
          <w:p>
            <w:pPr>
              <w:spacing w:after="0" w:line="252" w:lineRule="auto"/>
              <w:jc w:val="left"/>
            </w:pPr>
            <w:r>
              <w:rPr>
                <w:rFonts w:ascii="Calibri" w:hAnsi="Calibri"/>
                <w:color w:val="152A31"/>
                <w:sz w:val="18"/>
              </w:rPr>
              <w:t>Section 5; survey, catch/release, route, determinism, save validation</w:t>
            </w:r>
          </w:p>
        </w:tc>
      </w:tr>
      <w:tr>
        <w:trPr>
          <w:cantSplit/>
        </w:trPr>
        <w:tc>
          <w:tcPr>
            <w:tcW w:type="dxa" w:w="3303"/>
            <w:vAlign w:val="center"/>
          </w:tcPr>
          <w:p>
            <w:pPr>
              <w:spacing w:after="0" w:line="252" w:lineRule="auto"/>
              <w:jc w:val="left"/>
            </w:pPr>
            <w:r>
              <w:rPr>
                <w:rFonts w:ascii="Calibri" w:hAnsi="Calibri"/>
                <w:color w:val="152A31"/>
                <w:sz w:val="18"/>
              </w:rPr>
              <w:t>Computational thinking</w:t>
            </w:r>
          </w:p>
        </w:tc>
        <w:tc>
          <w:tcPr>
            <w:tcW w:type="dxa" w:w="6057"/>
            <w:vAlign w:val="center"/>
          </w:tcPr>
          <w:p>
            <w:pPr>
              <w:spacing w:after="0" w:line="252" w:lineRule="auto"/>
              <w:jc w:val="left"/>
            </w:pPr>
            <w:r>
              <w:rPr>
                <w:rFonts w:ascii="Calibri" w:hAnsi="Calibri"/>
                <w:color w:val="152A31"/>
                <w:sz w:val="18"/>
              </w:rPr>
              <w:t>Decomposed module architecture, abstraction, deterministic tests</w:t>
            </w:r>
          </w:p>
        </w:tc>
      </w:tr>
      <w:tr>
        <w:trPr>
          <w:cantSplit/>
        </w:trPr>
        <w:tc>
          <w:tcPr>
            <w:tcW w:type="dxa" w:w="3303"/>
            <w:vAlign w:val="center"/>
          </w:tcPr>
          <w:p>
            <w:pPr>
              <w:spacing w:after="0" w:line="252" w:lineRule="auto"/>
              <w:jc w:val="left"/>
            </w:pPr>
            <w:r>
              <w:rPr>
                <w:rFonts w:ascii="Calibri" w:hAnsi="Calibri"/>
                <w:color w:val="152A31"/>
                <w:sz w:val="18"/>
              </w:rPr>
              <w:t>User-centred design</w:t>
            </w:r>
          </w:p>
        </w:tc>
        <w:tc>
          <w:tcPr>
            <w:tcW w:type="dxa" w:w="6057"/>
            <w:vAlign w:val="center"/>
          </w:tcPr>
          <w:p>
            <w:pPr>
              <w:spacing w:after="0" w:line="252" w:lineRule="auto"/>
              <w:jc w:val="left"/>
            </w:pPr>
            <w:r>
              <w:rPr>
                <w:rFonts w:ascii="Calibri" w:hAnsi="Calibri"/>
                <w:color w:val="152A31"/>
                <w:sz w:val="18"/>
              </w:rPr>
              <w:t>User-needs table, hierarchy, iterative feedback table, accessibility</w:t>
            </w:r>
          </w:p>
        </w:tc>
      </w:tr>
      <w:tr>
        <w:trPr>
          <w:cantSplit/>
        </w:trPr>
        <w:tc>
          <w:tcPr>
            <w:tcW w:type="dxa" w:w="3303"/>
            <w:vAlign w:val="center"/>
          </w:tcPr>
          <w:p>
            <w:pPr>
              <w:spacing w:after="0" w:line="252" w:lineRule="auto"/>
              <w:jc w:val="left"/>
            </w:pPr>
            <w:r>
              <w:rPr>
                <w:rFonts w:ascii="Calibri" w:hAnsi="Calibri"/>
                <w:color w:val="152A31"/>
                <w:sz w:val="18"/>
              </w:rPr>
              <w:t>Testing and iteration</w:t>
            </w:r>
          </w:p>
        </w:tc>
        <w:tc>
          <w:tcPr>
            <w:tcW w:type="dxa" w:w="6057"/>
            <w:vAlign w:val="center"/>
          </w:tcPr>
          <w:p>
            <w:pPr>
              <w:spacing w:after="0" w:line="252" w:lineRule="auto"/>
              <w:jc w:val="left"/>
            </w:pPr>
            <w:r>
              <w:rPr>
                <w:rFonts w:ascii="Calibri" w:hAnsi="Calibri"/>
                <w:color w:val="152A31"/>
                <w:sz w:val="18"/>
              </w:rPr>
              <w:t>Section 8; automated suites plus honest human protocol</w:t>
            </w:r>
          </w:p>
        </w:tc>
      </w:tr>
      <w:tr>
        <w:trPr>
          <w:cantSplit/>
        </w:trPr>
        <w:tc>
          <w:tcPr>
            <w:tcW w:type="dxa" w:w="3303"/>
            <w:vAlign w:val="center"/>
          </w:tcPr>
          <w:p>
            <w:pPr>
              <w:spacing w:after="0" w:line="252" w:lineRule="auto"/>
              <w:jc w:val="left"/>
            </w:pPr>
            <w:r>
              <w:rPr>
                <w:rFonts w:ascii="Calibri" w:hAnsi="Calibri"/>
                <w:color w:val="152A31"/>
                <w:sz w:val="18"/>
              </w:rPr>
              <w:t>Functional and engaging game</w:t>
            </w:r>
          </w:p>
        </w:tc>
        <w:tc>
          <w:tcPr>
            <w:tcW w:type="dxa" w:w="6057"/>
            <w:vAlign w:val="center"/>
          </w:tcPr>
          <w:p>
            <w:pPr>
              <w:spacing w:after="0" w:line="252" w:lineRule="auto"/>
              <w:jc w:val="left"/>
            </w:pPr>
            <w:r>
              <w:rPr>
                <w:rFonts w:ascii="Calibri" w:hAnsi="Calibri"/>
                <w:color w:val="152A31"/>
                <w:sz w:val="18"/>
              </w:rPr>
              <w:t>Complete onboarding-to-upgrade loop, expanded progression, visible feedback</w:t>
            </w:r>
          </w:p>
        </w:tc>
      </w:tr>
      <w:tr>
        <w:trPr>
          <w:cantSplit/>
        </w:trPr>
        <w:tc>
          <w:tcPr>
            <w:tcW w:type="dxa" w:w="3303"/>
            <w:vAlign w:val="center"/>
          </w:tcPr>
          <w:p>
            <w:pPr>
              <w:spacing w:after="0" w:line="252" w:lineRule="auto"/>
              <w:jc w:val="left"/>
            </w:pPr>
            <w:r>
              <w:rPr>
                <w:rFonts w:ascii="Calibri" w:hAnsi="Calibri"/>
                <w:color w:val="152A31"/>
                <w:sz w:val="18"/>
              </w:rPr>
              <w:t>Reflection and evaluation</w:t>
            </w:r>
          </w:p>
        </w:tc>
        <w:tc>
          <w:tcPr>
            <w:tcW w:type="dxa" w:w="6057"/>
            <w:vAlign w:val="center"/>
          </w:tcPr>
          <w:p>
            <w:pPr>
              <w:spacing w:after="0" w:line="252" w:lineRule="auto"/>
              <w:jc w:val="left"/>
            </w:pPr>
            <w:r>
              <w:rPr>
                <w:rFonts w:ascii="Calibri" w:hAnsi="Calibri"/>
                <w:color w:val="152A31"/>
                <w:sz w:val="18"/>
              </w:rPr>
              <w:t>Section 9; strengths, challenges, limitations, realistic next steps</w:t>
            </w:r>
          </w:p>
        </w:tc>
      </w:tr>
    </w:tbl>
    <w:p>
      <w:pPr>
        <w:spacing w:before="0" w:after="40"/>
      </w:pPr>
    </w:p>
    <w:p>
      <w:pPr>
        <w:pStyle w:val="Heading1"/>
        <w:pageBreakBefore/>
      </w:pPr>
      <w:r>
        <w:rPr>
          <w:rFonts w:ascii="Calibri" w:hAnsi="Calibri"/>
        </w:rPr>
        <w:t>11. Final submission checklist</w:t>
      </w:r>
    </w:p>
    <w:p>
      <w:pPr>
        <w:keepNext/>
        <w:ind w:left="317" w:hanging="317"/>
      </w:pPr>
      <w:r>
        <w:rPr>
          <w:rFonts w:ascii="Calibri" w:hAnsi="Calibri"/>
        </w:rPr>
        <w:t>☐  Replace the human-playtest “Pending” cells with real observations and retest notes.</w:t>
      </w:r>
    </w:p>
    <w:p>
      <w:pPr>
        <w:keepNext/>
        <w:ind w:left="317" w:hanging="317"/>
      </w:pPr>
      <w:r>
        <w:rPr>
          <w:rFonts w:ascii="Calibri" w:hAnsi="Calibri"/>
        </w:rPr>
        <w:t>☑  Strict TypeScript and all 23 unit/model tests pass.</w:t>
      </w:r>
    </w:p>
    <w:p>
      <w:pPr>
        <w:keepNext/>
        <w:ind w:left="317" w:hanging="317"/>
      </w:pPr>
      <w:r>
        <w:rPr>
          <w:rFonts w:ascii="Calibri" w:hAnsi="Calibri"/>
        </w:rPr>
        <w:t>☑  Create and verify the production build.</w:t>
      </w:r>
    </w:p>
    <w:p>
      <w:pPr>
        <w:keepNext/>
        <w:ind w:left="317" w:hanging="317"/>
      </w:pPr>
      <w:r>
        <w:rPr>
          <w:rFonts w:ascii="Calibri" w:hAnsi="Calibri"/>
        </w:rPr>
        <w:t>☑  Pass all 6 Playwright Chromium tests.</w:t>
      </w:r>
    </w:p>
    <w:p>
      <w:pPr>
        <w:keepNext/>
        <w:ind w:left="317" w:hanging="317"/>
      </w:pPr>
      <w:r>
        <w:rPr>
          <w:rFonts w:ascii="Calibri" w:hAnsi="Calibri"/>
        </w:rPr>
        <w:t>☑  Verify desktop and mobile-landscape interaction paths.</w:t>
      </w:r>
    </w:p>
    <w:p>
      <w:pPr>
        <w:keepNext/>
        <w:ind w:left="317" w:hanging="317"/>
      </w:pPr>
      <w:r>
        <w:rPr>
          <w:rFonts w:ascii="Calibri" w:hAnsi="Calibri"/>
        </w:rPr>
        <w:t>☑  Confirm CrazyGames SDK failure still falls back locally.</w:t>
      </w:r>
    </w:p>
    <w:p>
      <w:pPr>
        <w:keepNext/>
        <w:ind w:left="317" w:hanging="317"/>
      </w:pPr>
      <w:r>
        <w:rPr>
          <w:rFonts w:ascii="Calibri" w:hAnsi="Calibri"/>
        </w:rPr>
        <w:t>☑  Confirm a refresh retains field-guide and upgrade progress.</w:t>
      </w:r>
    </w:p>
    <w:p>
      <w:pPr>
        <w:keepNext/>
        <w:ind w:left="317" w:hanging="317"/>
      </w:pPr>
      <w:r>
        <w:rPr>
          <w:rFonts w:ascii="Calibri" w:hAnsi="Calibri"/>
        </w:rPr>
        <w:t>☑  Capture final screenshots of title, survey, underwater depth, route plan, and field guide.</w:t>
      </w:r>
    </w:p>
    <w:p>
      <w:pPr>
        <w:keepNext/>
        <w:ind w:left="317" w:hanging="317"/>
      </w:pPr>
      <w:r>
        <w:rPr>
          <w:rFonts w:ascii="Calibri" w:hAnsi="Calibri"/>
        </w:rPr>
        <w:t>☐  Export this report to the teacher’s required format.</w:t>
      </w:r>
    </w:p>
    <w:p>
      <w:pPr>
        <w:keepNext/>
        <w:ind w:left="317" w:hanging="317"/>
      </w:pPr>
      <w:r>
        <w:rPr>
          <w:rFonts w:ascii="Calibri" w:hAnsi="Calibri"/>
        </w:rPr>
        <w:t>☑  Create and integrity-check the clean game submission ZIP.</w:t>
      </w:r>
    </w:p>
    <w:p>
      <w:pPr>
        <w:keepNext/>
        <w:ind w:left="317" w:hanging="317"/>
      </w:pPr>
      <w:r>
        <w:rPr>
          <w:rFonts w:ascii="Calibri" w:hAnsi="Calibri"/>
        </w:rPr>
        <w:t>☐  Submit the report and ZIP or hosted link before the deadline.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3666C"/>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0B2630"/>
        <w:sz w:val="17"/>
      </w:rPr>
      <w:t>FSHING</w:t>
    </w:r>
    <w:r>
      <w:rPr>
        <w:rFonts w:ascii="Calibri" w:hAnsi="Calibri"/>
        <w:color w:val="53666C"/>
        <w:sz w:val="17"/>
      </w:rPr>
      <w:t xml:space="preserve">   •   ASSESSMENT 3   •   GAME DESIGN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52A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0B263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173F49"/>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9D632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color w:val="152A3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color w:val="152A31"/>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line="252" w:lineRule="auto"/>
      <w:ind w:left="259" w:right="259"/>
    </w:pPr>
    <w:rPr>
      <w:rFonts w:ascii="Liberation Mono" w:hAnsi="Liberation Mono"/>
      <w:color w:val="0B263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tore.steampowered.com/app/343780/Cat_Goes_Fishing/" TargetMode="External"/><Relationship Id="rId13" Type="http://schemas.openxmlformats.org/officeDocument/2006/relationships/hyperlink" Target="https://www.copyright.org.au/browse/book/ACC-Ideas%3A-Legal-Protection-INFO015" TargetMode="External"/><Relationship Id="rId14" Type="http://schemas.openxmlformats.org/officeDocument/2006/relationships/hyperlink" Target="https://www.copyright.org.au/browse/book/ACC-Games-%26-Copyright-INFO016"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FSHING — Assessment 3 Game Design and Development Portfolio</dc:title>
  <dc:subject>Year 10 Computing game design assessment report</dc:subject>
  <dc:creator>Saxon Rigg-Smith</dc:creator>
  <cp:keywords>FSHING, game design, STEM, environmental science, TypeScript</cp:keywords>
  <dc:description>Submission-ready portfolio generated from the project design record.</dc:description>
  <cp:lastModifiedBy/>
  <cp:revision>1</cp:revision>
  <dcterms:created xsi:type="dcterms:W3CDTF">2013-12-23T23:15:00Z</dcterms:created>
  <dcterms:modified xsi:type="dcterms:W3CDTF">2013-12-23T23:15:00Z</dcterms:modified>
  <cp:category/>
</cp:coreProperties>
</file>