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648"/>
      </w:tblGrid>
      <w:tr>
        <w:tc>
          <w:tcPr>
            <w:tcW w:type="dxa" w:w="9648"/>
            <w:shd w:val="clear" w:color="auto" w:fill="1A1A2E"/>
          </w:tcPr>
          <w:p>
            <w:pPr>
              <w:spacing w:before="160" w:after="40"/>
              <w:jc w:val="center"/>
            </w:pPr>
            <w:r>
              <w:rPr>
                <w:b/>
                <w:color w:val="008BD4"/>
                <w:sz w:val="56"/>
              </w:rPr>
              <w:t>FORGE</w:t>
            </w:r>
          </w:p>
          <w:p>
            <w:pPr>
              <w:spacing w:before="0" w:after="160"/>
              <w:jc w:val="center"/>
            </w:pPr>
            <w:r>
              <w:rPr>
                <w:color w:val="CCDDEE"/>
                <w:sz w:val="22"/>
              </w:rPr>
              <w:t>Core Data Platform  ·  Platform Brief</w:t>
            </w:r>
          </w:p>
        </w:tc>
      </w:tr>
    </w:tbl>
    <w:p>
      <w:pPr>
        <w:spacing w:after="120"/>
      </w:pPr>
    </w:p>
    <w:p>
      <w:pPr>
        <w:spacing w:before="0" w:after="120"/>
      </w:pPr>
      <w:r>
        <w:rPr>
          <w:color w:val="444444"/>
          <w:sz w:val="20"/>
        </w:rPr>
        <w:t>Forge is the core data engineering platform that moves data from raw source systems to governed, serving-ready analytics — reliably, observably, and at scale. It is the single system through which all data enters the lakehouse, gets validated, and becomes trusted for downstream consumption.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648"/>
      </w:tblGrid>
      <w:tr>
        <w:tc>
          <w:tcPr>
            <w:tcW w:type="dxa" w:w="9072"/>
            <w:shd w:val="clear" w:color="auto" w:fill="1A1A2E"/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2"/>
              </w:rPr>
              <w:t>FORGE DATA PLATFORM — ARCHITECTURE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0F3C78"/>
          </w:tcPr>
          <w:p>
            <w:pPr>
              <w:spacing w:before="6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DEVELOPER INTERFACES</w:t>
            </w:r>
          </w:p>
        </w:tc>
      </w:tr>
      <w:tr>
        <w:tc>
          <w:tcPr>
            <w:tcW w:type="dxa" w:w="3024"/>
            <w:shd w:val="clear" w:color="auto" w:fill="008BD4"/>
            <w:tcBorders>
              <w:top w:val="single" w:sz="6" w:space="0" w:color="FFFFFF"/>
              <w:bottom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FFFFFF"/>
                <w:sz w:val="16"/>
              </w:rPr>
              <w:t>VS Code + Spark Connect</w:t>
              <w:br/>
              <w:t>(dev — interactive)</w:t>
            </w:r>
          </w:p>
        </w:tc>
        <w:tc>
          <w:tcPr>
            <w:tcW w:type="dxa" w:w="3024"/>
            <w:shd w:val="clear" w:color="auto" w:fill="008BD4"/>
            <w:tcBorders>
              <w:top w:val="single" w:sz="6" w:space="0" w:color="FFFFFF"/>
              <w:bottom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FFFFFF"/>
                <w:sz w:val="16"/>
              </w:rPr>
              <w:t>Apache Airflow UI</w:t>
              <w:br/>
              <w:t>(DAGs, runs, logs)</w:t>
            </w:r>
          </w:p>
        </w:tc>
        <w:tc>
          <w:tcPr>
            <w:tcW w:type="dxa" w:w="3024"/>
            <w:shd w:val="clear" w:color="auto" w:fill="008BD4"/>
            <w:tcBorders>
              <w:top w:val="single" w:sz="6" w:space="0" w:color="FFFFFF"/>
              <w:bottom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 w:val="0"/>
                <w:i w:val="0"/>
                <w:color w:val="FFFFFF"/>
                <w:sz w:val="16"/>
              </w:rPr>
              <w:t>Developer Portal</w:t>
              <w:br/>
              <w:t>(datasets, lineage, DQ, cost)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824"/>
        <w:gridCol w:w="4824"/>
      </w:tblGrid>
      <w:tr>
        <w:tc>
          <w:tcPr>
            <w:tcW w:type="dxa" w:w="4536"/>
            <w:shd w:val="clear" w:color="auto" w:fill="E25A1C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COMPUTE CLUSTER</w:t>
            </w:r>
          </w:p>
        </w:tc>
        <w:tc>
          <w:tcPr>
            <w:tcW w:type="dxa" w:w="4536"/>
            <w:shd w:val="clear" w:color="auto" w:fill="107C10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ORCHESTRATION CLUSTER</w:t>
            </w:r>
          </w:p>
        </w:tc>
      </w:tr>
      <w:tr>
        <w:tc>
          <w:tcPr>
            <w:tcW w:type="dxa" w:w="4536"/>
            <w:shd w:val="clear" w:color="auto" w:fill="FFF3EB"/>
          </w:tcPr>
          <w:p>
            <w:pPr>
              <w:spacing w:before="20" w:after="20"/>
            </w:pPr>
            <w:r>
              <w:rPr>
                <w:color w:val="444444"/>
                <w:sz w:val="16"/>
              </w:rPr>
              <w:t>• Spark Operator (batch jobs)</w:t>
            </w:r>
          </w:p>
          <w:p>
            <w:pPr>
              <w:spacing w:before="20" w:after="20"/>
            </w:pPr>
            <w:r>
              <w:rPr>
                <w:color w:val="444444"/>
                <w:sz w:val="16"/>
              </w:rPr>
              <w:t>• Spark Connect * (dev only)</w:t>
            </w:r>
          </w:p>
          <w:p>
            <w:pPr>
              <w:spacing w:before="20" w:after="20"/>
            </w:pPr>
            <w:r>
              <w:rPr>
                <w:color w:val="444444"/>
                <w:sz w:val="16"/>
              </w:rPr>
              <w:t>• Trino (federated SQL)</w:t>
            </w:r>
          </w:p>
          <w:p>
            <w:pPr>
              <w:spacing w:before="20" w:after="20"/>
            </w:pPr>
            <w:r>
              <w:rPr>
                <w:color w:val="444444"/>
                <w:sz w:val="16"/>
              </w:rPr>
            </w:r>
          </w:p>
          <w:p>
            <w:pPr>
              <w:spacing w:before="20" w:after="20"/>
            </w:pPr>
            <w:r>
              <w:rPr>
                <w:color w:val="444444"/>
                <w:sz w:val="16"/>
              </w:rPr>
              <w:t>Node pools:</w:t>
            </w:r>
          </w:p>
          <w:p>
            <w:pPr>
              <w:spacing w:before="20" w:after="20"/>
            </w:pPr>
            <w:r>
              <w:rPr>
                <w:color w:val="444444"/>
                <w:sz w:val="16"/>
              </w:rPr>
              <w:t xml:space="preserve">  systempool  Standard_D4s_v5</w:t>
            </w:r>
          </w:p>
          <w:p>
            <w:pPr>
              <w:spacing w:before="20" w:after="20"/>
            </w:pPr>
            <w:r>
              <w:rPr>
                <w:color w:val="444444"/>
                <w:sz w:val="16"/>
              </w:rPr>
              <w:t xml:space="preserve">  sparkpool   Standard_E8s_v5  (0→5)</w:t>
            </w:r>
          </w:p>
          <w:p>
            <w:pPr>
              <w:spacing w:before="20" w:after="20"/>
            </w:pPr>
            <w:r>
              <w:rPr>
                <w:color w:val="444444"/>
                <w:sz w:val="16"/>
              </w:rPr>
              <w:t xml:space="preserve">  trinopool   Standard_D4s_v5  (0→3)</w:t>
            </w:r>
          </w:p>
        </w:tc>
        <w:tc>
          <w:tcPr>
            <w:tcW w:type="dxa" w:w="4536"/>
            <w:shd w:val="clear" w:color="auto" w:fill="EBF5EB"/>
          </w:tcPr>
          <w:p>
            <w:pPr>
              <w:spacing w:before="20" w:after="20"/>
            </w:pPr>
            <w:r>
              <w:rPr>
                <w:color w:val="444444"/>
                <w:sz w:val="16"/>
              </w:rPr>
              <w:t>• Apache Airflow 3.x (KubernetesExecutor)</w:t>
            </w:r>
          </w:p>
          <w:p>
            <w:pPr>
              <w:spacing w:before="20" w:after="20"/>
            </w:pPr>
            <w:r>
              <w:rPr>
                <w:color w:val="444444"/>
                <w:sz w:val="16"/>
              </w:rPr>
              <w:t>• DQ Framework (YAML rule engine)</w:t>
            </w:r>
          </w:p>
          <w:p>
            <w:pPr>
              <w:spacing w:before="20" w:after="20"/>
            </w:pPr>
            <w:r>
              <w:rPr>
                <w:color w:val="444444"/>
                <w:sz w:val="16"/>
              </w:rPr>
              <w:t>• Developer Portal (FastAPI + Next.js)</w:t>
            </w:r>
          </w:p>
          <w:p>
            <w:pPr>
              <w:spacing w:before="20" w:after="20"/>
            </w:pPr>
            <w:r>
              <w:rPr>
                <w:color w:val="444444"/>
                <w:sz w:val="16"/>
              </w:rPr>
              <w:t>• Azure Monitor Agent (DaemonSet)</w:t>
            </w:r>
          </w:p>
          <w:p>
            <w:pPr>
              <w:spacing w:before="20" w:after="20"/>
            </w:pPr>
            <w:r>
              <w:rPr>
                <w:color w:val="444444"/>
                <w:sz w:val="16"/>
              </w:rPr>
            </w:r>
          </w:p>
          <w:p>
            <w:pPr>
              <w:spacing w:before="20" w:after="20"/>
            </w:pPr>
            <w:r>
              <w:rPr>
                <w:color w:val="444444"/>
                <w:sz w:val="16"/>
              </w:rPr>
              <w:t>Node pools:</w:t>
            </w:r>
          </w:p>
          <w:p>
            <w:pPr>
              <w:spacing w:before="20" w:after="20"/>
            </w:pPr>
            <w:r>
              <w:rPr>
                <w:color w:val="444444"/>
                <w:sz w:val="16"/>
              </w:rPr>
              <w:t xml:space="preserve">  systempool   Standard_D4s_v5</w:t>
            </w:r>
          </w:p>
          <w:p>
            <w:pPr>
              <w:spacing w:before="20" w:after="20"/>
            </w:pPr>
            <w:r>
              <w:rPr>
                <w:color w:val="444444"/>
                <w:sz w:val="16"/>
              </w:rPr>
              <w:t xml:space="preserve">  workerpool   Standard_D4s_v5  (1→3)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3216"/>
        <w:gridCol w:w="3216"/>
        <w:gridCol w:w="3216"/>
      </w:tblGrid>
      <w:tr>
        <w:tc>
          <w:tcPr>
            <w:tcW w:type="dxa" w:w="9648"/>
            <w:gridSpan w:val="3"/>
            <w:shd w:val="clear" w:color="auto" w:fill="5C2D91"/>
          </w:tcPr>
          <w:p>
            <w:pPr>
              <w:spacing w:before="6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ADLS GEN2 LAKEHOUSE  (Delta Lake · Hierarchical Namespace)</w:t>
            </w:r>
          </w:p>
        </w:tc>
      </w:tr>
      <w:tr>
        <w:tc>
          <w:tcPr>
            <w:tcW w:type="dxa" w:w="3024"/>
            <w:shd w:val="clear" w:color="auto" w:fill="CD7F32"/>
            <w:tcBorders>
              <w:top w:val="single" w:sz="6" w:space="0" w:color="FFFFFF"/>
              <w:bottom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spacing w:before="60" w:after="20"/>
              <w:jc w:val="center"/>
            </w:pPr>
            <w:r>
              <w:rPr>
                <w:b/>
                <w:color w:val="FFFFFF"/>
                <w:sz w:val="20"/>
              </w:rPr>
              <w:t>bronze/</w:t>
            </w:r>
          </w:p>
          <w:p>
            <w:pPr>
              <w:spacing w:before="20" w:after="60"/>
              <w:jc w:val="center"/>
            </w:pPr>
            <w:r>
              <w:rPr>
                <w:color w:val="FFFFFF"/>
                <w:sz w:val="14"/>
              </w:rPr>
              <w:t>Raw, append-only</w:t>
              <w:br/>
              <w:t>Immutable source of truth</w:t>
              <w:br/>
              <w:t>Schema-on-read</w:t>
            </w:r>
          </w:p>
        </w:tc>
        <w:tc>
          <w:tcPr>
            <w:tcW w:type="dxa" w:w="3024"/>
            <w:shd w:val="clear" w:color="auto" w:fill="707F8F"/>
            <w:tcBorders>
              <w:top w:val="single" w:sz="6" w:space="0" w:color="FFFFFF"/>
              <w:bottom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spacing w:before="60" w:after="20"/>
              <w:jc w:val="center"/>
            </w:pPr>
            <w:r>
              <w:rPr>
                <w:b/>
                <w:color w:val="FFFFFF"/>
                <w:sz w:val="20"/>
              </w:rPr>
              <w:t>silver/</w:t>
            </w:r>
          </w:p>
          <w:p>
            <w:pPr>
              <w:spacing w:before="20" w:after="60"/>
              <w:jc w:val="center"/>
            </w:pPr>
            <w:r>
              <w:rPr>
                <w:color w:val="FFFFFF"/>
                <w:sz w:val="14"/>
              </w:rPr>
              <w:t>Cleaned, schema-enforced</w:t>
              <w:br/>
              <w:t>DQ-validated</w:t>
              <w:br/>
              <w:t>Delta Lake ACID</w:t>
            </w:r>
          </w:p>
        </w:tc>
        <w:tc>
          <w:tcPr>
            <w:tcW w:type="dxa" w:w="3024"/>
            <w:shd w:val="clear" w:color="auto" w:fill="C9A800"/>
            <w:tcBorders>
              <w:top w:val="single" w:sz="6" w:space="0" w:color="FFFFFF"/>
              <w:bottom w:val="single" w:sz="6" w:space="0" w:color="FFFFFF"/>
              <w:left w:val="single" w:sz="6" w:space="0" w:color="FFFFFF"/>
              <w:right w:val="single" w:sz="6" w:space="0" w:color="FFFFFF"/>
            </w:tcBorders>
          </w:tcPr>
          <w:p>
            <w:pPr>
              <w:spacing w:before="60" w:after="20"/>
              <w:jc w:val="center"/>
            </w:pPr>
            <w:r>
              <w:rPr>
                <w:b/>
                <w:color w:val="FFFFFF"/>
                <w:sz w:val="20"/>
              </w:rPr>
              <w:t>gold/</w:t>
            </w:r>
          </w:p>
          <w:p>
            <w:pPr>
              <w:spacing w:before="20" w:after="60"/>
              <w:jc w:val="center"/>
            </w:pPr>
            <w:r>
              <w:rPr>
                <w:color w:val="FFFFFF"/>
                <w:sz w:val="14"/>
              </w:rPr>
              <w:t>Aggregated, SLA-governed</w:t>
              <w:br/>
              <w:t>Consumer-ready</w:t>
              <w:br/>
              <w:t>Read by BI / ML / Portal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9650"/>
            <w:gridSpan w:val="5"/>
            <w:shd w:val="clear" w:color="auto" w:fill="1A1A2E"/>
          </w:tcPr>
          <w:p>
            <w:pPr>
              <w:spacing w:before="60" w:after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SHARED AZURE SERVICES</w:t>
            </w:r>
          </w:p>
        </w:tc>
      </w:tr>
      <w:tr>
        <w:tc>
          <w:tcPr>
            <w:tcW w:type="dxa" w:w="1814"/>
            <w:shd w:val="clear" w:color="auto" w:fill="0078D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20"/>
              <w:jc w:val="center"/>
            </w:pPr>
            <w:r>
              <w:rPr>
                <w:b/>
                <w:color w:val="FFFFFF"/>
                <w:sz w:val="16"/>
              </w:rPr>
              <w:t>Key Vault</w:t>
            </w:r>
          </w:p>
          <w:p>
            <w:pPr>
              <w:spacing w:before="0" w:after="60"/>
              <w:jc w:val="center"/>
            </w:pPr>
            <w:r>
              <w:rPr>
                <w:color w:val="CCE4FF"/>
                <w:sz w:val="14"/>
              </w:rPr>
              <w:t>Secrets +</w:t>
              <w:br/>
              <w:t>HSM keys</w:t>
            </w:r>
          </w:p>
        </w:tc>
        <w:tc>
          <w:tcPr>
            <w:tcW w:type="dxa" w:w="1814"/>
            <w:shd w:val="clear" w:color="auto" w:fill="0078D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20"/>
              <w:jc w:val="center"/>
            </w:pPr>
            <w:r>
              <w:rPr>
                <w:b/>
                <w:color w:val="FFFFFF"/>
                <w:sz w:val="16"/>
              </w:rPr>
              <w:t>ACR</w:t>
            </w:r>
          </w:p>
          <w:p>
            <w:pPr>
              <w:spacing w:before="0" w:after="60"/>
              <w:jc w:val="center"/>
            </w:pPr>
            <w:r>
              <w:rPr>
                <w:color w:val="CCE4FF"/>
                <w:sz w:val="14"/>
              </w:rPr>
              <w:t>Private</w:t>
              <w:br/>
              <w:t>image registry</w:t>
            </w:r>
          </w:p>
        </w:tc>
        <w:tc>
          <w:tcPr>
            <w:tcW w:type="dxa" w:w="1814"/>
            <w:shd w:val="clear" w:color="auto" w:fill="0078D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20"/>
              <w:jc w:val="center"/>
            </w:pPr>
            <w:r>
              <w:rPr>
                <w:b/>
                <w:color w:val="FFFFFF"/>
                <w:sz w:val="16"/>
              </w:rPr>
              <w:t>Log Analytics</w:t>
              <w:br/>
              <w:t>+ Grafana</w:t>
            </w:r>
          </w:p>
          <w:p>
            <w:pPr>
              <w:spacing w:before="0" w:after="60"/>
              <w:jc w:val="center"/>
            </w:pPr>
            <w:r>
              <w:rPr>
                <w:color w:val="CCE4FF"/>
                <w:sz w:val="14"/>
              </w:rPr>
              <w:t>Metrics, logs</w:t>
              <w:br/>
              <w:t>alerts, dashboards</w:t>
            </w:r>
          </w:p>
        </w:tc>
        <w:tc>
          <w:tcPr>
            <w:tcW w:type="dxa" w:w="1814"/>
            <w:shd w:val="clear" w:color="auto" w:fill="0078D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20"/>
              <w:jc w:val="center"/>
            </w:pPr>
            <w:r>
              <w:rPr>
                <w:b/>
                <w:color w:val="FFFFFF"/>
                <w:sz w:val="16"/>
              </w:rPr>
              <w:t>Defender</w:t>
            </w:r>
          </w:p>
          <w:p>
            <w:pPr>
              <w:spacing w:before="0" w:after="60"/>
              <w:jc w:val="center"/>
            </w:pPr>
            <w:r>
              <w:rPr>
                <w:color w:val="CCE4FF"/>
                <w:sz w:val="14"/>
              </w:rPr>
              <w:t>Runtime threat</w:t>
              <w:br/>
              <w:t>detection (S360)</w:t>
            </w:r>
          </w:p>
        </w:tc>
        <w:tc>
          <w:tcPr>
            <w:tcW w:type="dxa" w:w="1814"/>
            <w:shd w:val="clear" w:color="auto" w:fill="0078D4"/>
            <w:tcBorders>
              <w:top w:val="single" w:sz="4" w:space="0" w:color="FFFFFF"/>
              <w:bottom w:val="single" w:sz="4" w:space="0" w:color="FFFFFF"/>
              <w:left w:val="single" w:sz="4" w:space="0" w:color="FFFFFF"/>
              <w:right w:val="single" w:sz="4" w:space="0" w:color="FFFFFF"/>
            </w:tcBorders>
          </w:tcPr>
          <w:p>
            <w:pPr>
              <w:spacing w:before="60" w:after="20"/>
              <w:jc w:val="center"/>
            </w:pPr>
            <w:r>
              <w:rPr>
                <w:b/>
                <w:color w:val="FFFFFF"/>
                <w:sz w:val="16"/>
              </w:rPr>
              <w:t>Private DNS</w:t>
              <w:br/>
              <w:t>+ Endpoints</w:t>
            </w:r>
          </w:p>
          <w:p>
            <w:pPr>
              <w:spacing w:before="0" w:after="60"/>
              <w:jc w:val="center"/>
            </w:pPr>
            <w:r>
              <w:rPr>
                <w:color w:val="CCE4FF"/>
                <w:sz w:val="14"/>
              </w:rPr>
              <w:t>No public</w:t>
              <w:br/>
              <w:t>data plane</w:t>
            </w:r>
          </w:p>
        </w:tc>
      </w:tr>
    </w:tbl>
    <w:p>
      <w:pPr>
        <w:spacing w:after="40"/>
      </w:pPr>
    </w:p>
    <w:p>
      <w:pPr>
        <w:spacing w:before="0" w:after="0"/>
      </w:pPr>
      <w:r>
        <w:rPr>
          <w:i/>
          <w:color w:val="444444"/>
          <w:sz w:val="14"/>
        </w:rPr>
        <w:t>* Spark Connect available in dev environment only — interactive VS Code sessions against live cluster.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824"/>
        <w:gridCol w:w="4824"/>
      </w:tblGrid>
      <w:tr>
        <w:tc>
          <w:tcPr>
            <w:tcW w:type="dxa" w:w="4464"/>
          </w:tcPr>
          <w:p>
            <w:pPr>
              <w:spacing w:before="0" w:after="60"/>
            </w:pPr>
            <w:r>
              <w:rPr>
                <w:b/>
                <w:color w:val="0F3C78"/>
                <w:sz w:val="18"/>
              </w:rPr>
              <w:t>WHAT IT SOLVES</w:t>
            </w:r>
          </w:p>
          <w:p>
            <w:pPr>
              <w:spacing w:before="20" w:after="20"/>
            </w:pPr>
            <w:r>
              <w:rPr>
                <w:b/>
                <w:color w:val="1A1A2E"/>
                <w:sz w:val="16"/>
              </w:rPr>
              <w:t>• Unreliable source data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6"/>
              </w:rPr>
              <w:t xml:space="preserve">  DQ gates at every layer — nothing untested reaches gold</w:t>
            </w:r>
          </w:p>
          <w:p>
            <w:pPr>
              <w:spacing w:before="20" w:after="20"/>
            </w:pPr>
            <w:r>
              <w:rPr>
                <w:b/>
                <w:color w:val="1A1A2E"/>
                <w:sz w:val="16"/>
              </w:rPr>
              <w:t>• No production job governance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6"/>
              </w:rPr>
              <w:t xml:space="preserve">  Spark Operator: every job scheduled, tracked, auditable</w:t>
            </w:r>
          </w:p>
          <w:p>
            <w:pPr>
              <w:spacing w:before="20" w:after="20"/>
            </w:pPr>
            <w:r>
              <w:rPr>
                <w:b/>
                <w:color w:val="1A1A2E"/>
                <w:sz w:val="16"/>
              </w:rPr>
              <w:t>• Unknown data lineage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6"/>
              </w:rPr>
              <w:t xml:space="preserve">  OpenLineage on every job — column-level lineage to gold</w:t>
            </w:r>
          </w:p>
          <w:p>
            <w:pPr>
              <w:spacing w:before="20" w:after="20"/>
            </w:pPr>
            <w:r>
              <w:rPr>
                <w:b/>
                <w:color w:val="1A1A2E"/>
                <w:sz w:val="16"/>
              </w:rPr>
              <w:t>• Secrets in code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6"/>
              </w:rPr>
              <w:t xml:space="preserve">  Workload Identity + Key Vault — zero long-lived credentials</w:t>
            </w:r>
          </w:p>
          <w:p>
            <w:pPr>
              <w:spacing w:before="20" w:after="20"/>
            </w:pPr>
            <w:r>
              <w:rPr>
                <w:b/>
                <w:color w:val="1A1A2E"/>
                <w:sz w:val="16"/>
              </w:rPr>
              <w:t>• Slow developer setup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6"/>
              </w:rPr>
              <w:t xml:space="preserve">  VS Code + Spark Connect — live cluster in minutes</w:t>
            </w:r>
          </w:p>
          <w:p>
            <w:pPr>
              <w:spacing w:before="20" w:after="20"/>
            </w:pPr>
            <w:r>
              <w:rPr>
                <w:b/>
                <w:color w:val="1A1A2E"/>
                <w:sz w:val="16"/>
              </w:rPr>
              <w:t>• Silent pipeline failures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6"/>
              </w:rPr>
              <w:t xml:space="preserve">  Azure Monitor Alerts fire before consumers notice</w:t>
            </w:r>
          </w:p>
        </w:tc>
        <w:tc>
          <w:tcPr>
            <w:tcW w:type="dxa" w:w="4464"/>
          </w:tcPr>
          <w:p>
            <w:pPr>
              <w:spacing w:before="0" w:after="60"/>
            </w:pPr>
            <w:r>
              <w:rPr>
                <w:b/>
                <w:color w:val="0F3C78"/>
                <w:sz w:val="18"/>
              </w:rPr>
              <w:t>SECURITY (S360)</w:t>
            </w:r>
          </w:p>
          <w:p>
            <w:pPr>
              <w:spacing w:before="20" w:after="20"/>
            </w:pPr>
            <w:r>
              <w:rPr>
                <w:b/>
                <w:color w:val="1A1A2E"/>
                <w:sz w:val="16"/>
              </w:rPr>
              <w:t>• No long-lived credentials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6"/>
              </w:rPr>
              <w:t xml:space="preserve">  OIDC Workload Identity — pods exchange K8s tokens for Azure tokens</w:t>
            </w:r>
          </w:p>
          <w:p>
            <w:pPr>
              <w:spacing w:before="20" w:after="20"/>
            </w:pPr>
            <w:r>
              <w:rPr>
                <w:b/>
                <w:color w:val="1A1A2E"/>
                <w:sz w:val="16"/>
              </w:rPr>
              <w:t>• No secrets in code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6"/>
              </w:rPr>
              <w:t xml:space="preserve">  Key Vault + CSI driver — secrets as in-memory pod volumes</w:t>
            </w:r>
          </w:p>
          <w:p>
            <w:pPr>
              <w:spacing w:before="20" w:after="20"/>
            </w:pPr>
            <w:r>
              <w:rPr>
                <w:b/>
                <w:color w:val="1A1A2E"/>
                <w:sz w:val="16"/>
              </w:rPr>
              <w:t>• Least-privilege identities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6"/>
              </w:rPr>
              <w:t xml:space="preserve">  5 workload identities, each scoped to minimum required containers</w:t>
            </w:r>
          </w:p>
          <w:p>
            <w:pPr>
              <w:spacing w:before="20" w:after="20"/>
            </w:pPr>
            <w:r>
              <w:rPr>
                <w:b/>
                <w:color w:val="1A1A2E"/>
                <w:sz w:val="16"/>
              </w:rPr>
              <w:t>• No public data plane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6"/>
              </w:rPr>
              <w:t xml:space="preserve">  ADLS, KV, ACR all behind private endpoints</w:t>
            </w:r>
          </w:p>
          <w:p>
            <w:pPr>
              <w:spacing w:before="20" w:after="20"/>
            </w:pPr>
            <w:r>
              <w:rPr>
                <w:b/>
                <w:color w:val="1A1A2E"/>
                <w:sz w:val="16"/>
              </w:rPr>
              <w:t>• Full audit trail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6"/>
              </w:rPr>
              <w:t xml:space="preserve">  Every kubectl, secret access, and storage op logged in Log Analytics</w:t>
            </w:r>
          </w:p>
          <w:p>
            <w:pPr>
              <w:spacing w:before="20" w:after="20"/>
            </w:pPr>
            <w:r>
              <w:rPr>
                <w:b/>
                <w:color w:val="1A1A2E"/>
                <w:sz w:val="16"/>
              </w:rPr>
              <w:t>• Threat detection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6"/>
              </w:rPr>
              <w:t xml:space="preserve">  Defender for Containers, Storage, Key Vault at subscription scope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0F3C78"/>
          <w:sz w:val="18"/>
        </w:rPr>
        <w:t>DEVELOPER WORKFLOW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4824"/>
        <w:gridCol w:w="4824"/>
      </w:tblGrid>
      <w:tr>
        <w:tc>
          <w:tcPr>
            <w:tcW w:type="dxa" w:w="1296"/>
            <w:shd w:val="clear" w:color="auto" w:fill="008BD4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1  Write</w:t>
            </w:r>
          </w:p>
        </w:tc>
        <w:tc>
          <w:tcPr>
            <w:tcW w:type="dxa" w:w="7776"/>
            <w:shd w:val="clear" w:color="auto" w:fill="F8F9F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444444"/>
                <w:sz w:val="16"/>
              </w:rPr>
              <w:t>VS Code notebook → Spark Connect → live dev cluster (real data, real results)</w:t>
            </w:r>
          </w:p>
        </w:tc>
      </w:tr>
      <w:tr>
        <w:tc>
          <w:tcPr>
            <w:tcW w:type="dxa" w:w="1296"/>
            <w:shd w:val="clear" w:color="auto" w:fill="0F3C78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2  Test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444444"/>
                <w:sz w:val="16"/>
              </w:rPr>
              <w:t>forge generate scaffold → add business logic → run DQ locally against dev cluster</w:t>
            </w:r>
          </w:p>
        </w:tc>
      </w:tr>
      <w:tr>
        <w:tc>
          <w:tcPr>
            <w:tcW w:type="dxa" w:w="1296"/>
            <w:shd w:val="clear" w:color="auto" w:fill="008BD4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3  Review</w:t>
            </w:r>
          </w:p>
        </w:tc>
        <w:tc>
          <w:tcPr>
            <w:tcW w:type="dxa" w:w="7776"/>
            <w:shd w:val="clear" w:color="auto" w:fill="F8F9F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444444"/>
                <w:sz w:val="16"/>
              </w:rPr>
              <w:t>PR → CI: lint, unit tests, DQ validation, image scan, IaC policy check</w:t>
            </w:r>
          </w:p>
        </w:tc>
      </w:tr>
      <w:tr>
        <w:tc>
          <w:tcPr>
            <w:tcW w:type="dxa" w:w="1296"/>
            <w:shd w:val="clear" w:color="auto" w:fill="0F3C78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4  Deploy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444444"/>
                <w:sz w:val="16"/>
              </w:rPr>
              <w:t>Merge to main → auto-deploy to dev  (DAG changes live within 30 seconds)</w:t>
            </w:r>
          </w:p>
        </w:tc>
      </w:tr>
      <w:tr>
        <w:tc>
          <w:tcPr>
            <w:tcW w:type="dxa" w:w="1296"/>
            <w:shd w:val="clear" w:color="auto" w:fill="008BD4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16"/>
              </w:rPr>
              <w:t>5  Promote</w:t>
            </w:r>
          </w:p>
        </w:tc>
        <w:tc>
          <w:tcPr>
            <w:tcW w:type="dxa" w:w="7776"/>
            <w:shd w:val="clear" w:color="auto" w:fill="F8F9FA"/>
            <w:tcBorders>
              <w:top w:val="single" w:sz="4" w:space="0" w:color="FFFFFF"/>
              <w:bottom w:val="single" w:sz="4" w:space="0" w:color="FFFFFF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444444"/>
                <w:sz w:val="16"/>
              </w:rPr>
              <w:t>Release tag → manual approval gate → production deployment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</w:tblPr>
      <w:tblGrid>
        <w:gridCol w:w="9648"/>
      </w:tblGrid>
      <w:tr>
        <w:tc>
          <w:tcPr>
            <w:tcW w:type="dxa" w:w="9648"/>
            <w:shd w:val="clear" w:color="auto" w:fill="E9ECEF"/>
          </w:tcPr>
          <w:p>
            <w:pPr>
              <w:spacing w:before="100" w:after="100"/>
              <w:jc w:val="center"/>
            </w:pPr>
            <w:r>
              <w:rPr>
                <w:color w:val="444444"/>
                <w:sz w:val="16"/>
              </w:rPr>
              <w:t>Infrastructure: Bicep (Azure)  ·  Kubernetes: AKS 1.32  ·  Storage: ADLS Gen2 + Delta Lake 4.0  ·  Environments: dev (alias-scoped) → prod (release-gated)  ·  Compliance: S360</w:t>
            </w:r>
          </w:p>
        </w:tc>
      </w:tr>
    </w:tbl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