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9072" w:type="dxa"/>
      </w:tblPr>
      <w:tblGrid>
        <w:gridCol w:w="9072"/>
      </w:tblGrid>
      <w:tr>
        <w:tc>
          <w:tcPr>
            <w:tcW w:type="dxa" w:w="9072"/>
            <w:shd w:val="clear" w:color="auto" w:fill="1A1A2E"/>
          </w:tcPr>
          <w:p>
            <w:pPr>
              <w:spacing w:before="200" w:after="40"/>
              <w:jc w:val="center"/>
            </w:pPr>
            <w:r>
              <w:rPr>
                <w:b/>
                <w:color w:val="008BD4"/>
                <w:sz w:val="48"/>
              </w:rPr>
              <w:t>FORGE</w:t>
            </w:r>
          </w:p>
          <w:p>
            <w:pPr>
              <w:spacing w:before="80" w:after="80"/>
              <w:jc w:val="center"/>
            </w:pPr>
            <w:r>
              <w:rPr>
                <w:b w:val="0"/>
                <w:color w:val="CCDDEE"/>
                <w:sz w:val="26"/>
              </w:rPr>
              <w:t>Platform Design Reference</w:t>
            </w:r>
          </w:p>
          <w:p>
            <w:pPr>
              <w:spacing w:before="80" w:after="80"/>
              <w:jc w:val="center"/>
            </w:pPr>
            <w:r>
              <w:rPr>
                <w:b w:val="0"/>
                <w:color w:val="88AACC"/>
                <w:sz w:val="18"/>
              </w:rPr>
              <w:t>Version 1.0  ·  Internal — Platform Team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b/>
          <w:color w:val="0F3C78"/>
          <w:sz w:val="36"/>
        </w:rPr>
        <w:t>1.  Executive Summary</w:t>
      </w:r>
    </w:p>
    <w:p>
      <w:pPr>
        <w:spacing w:before="40" w:after="40"/>
      </w:pPr>
      <w:r>
        <w:rPr>
          <w:color w:val="444444"/>
          <w:sz w:val="20"/>
        </w:rPr>
        <w:t>Forge is the core data engineering platform that moves data from raw sources to governed, serving-ready analytics. It is built around three principles: separate compute from orchestration, use Azure-native observability, and put everything in Git.</w:t>
      </w:r>
    </w:p>
    <w:p>
      <w:pPr>
        <w:spacing w:before="40" w:after="40"/>
      </w:pPr>
      <w:r>
        <w:rPr>
          <w:color w:val="444444"/>
          <w:sz w:val="20"/>
        </w:rPr>
        <w:t>Two AKS clusters per environment provide isolation between elastic data processing (Spark, Trino) and stable control-plane services (Airflow, DQ, Portal). Failures and scaling events in one cluster do not affect the other.</w:t>
      </w:r>
    </w:p>
    <w:p>
      <w:pPr>
        <w:spacing w:after="80"/>
      </w:pPr>
    </w:p>
    <w:p>
      <w:pPr>
        <w:spacing w:before="240" w:after="80"/>
      </w:pPr>
      <w:r>
        <w:rPr>
          <w:b/>
          <w:color w:val="0F3C78"/>
          <w:sz w:val="36"/>
        </w:rPr>
        <w:t>2.  Architecture Principles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80"/>
            <w:shd w:val="clear" w:color="auto" w:fill="0F3C78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18"/>
              </w:rPr>
              <w:t>Principle</w:t>
            </w:r>
          </w:p>
        </w:tc>
        <w:tc>
          <w:tcPr>
            <w:tcW w:type="dxa" w:w="6192"/>
            <w:shd w:val="clear" w:color="auto" w:fill="0F3C78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18"/>
              </w:rPr>
              <w:t>What it means in practice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Separation of concerns</w:t>
            </w:r>
          </w:p>
        </w:tc>
        <w:tc>
          <w:tcPr>
            <w:tcW w:type="dxa" w:w="6192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Orchestration and compute are isolated clusters. A Spark OOM does not page the Airflow on-call.</w:t>
            </w:r>
          </w:p>
        </w:tc>
      </w:tr>
      <w:tr>
        <w:tc>
          <w:tcPr>
            <w:tcW w:type="dxa" w:w="2880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Minimal blast radius</w:t>
            </w:r>
          </w:p>
        </w:tc>
        <w:tc>
          <w:tcPr>
            <w:tcW w:type="dxa" w:w="6192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Each cluster, layer, and job runs with minimum permissions. No shared credentials.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Environment isolation</w:t>
            </w:r>
          </w:p>
        </w:tc>
        <w:tc>
          <w:tcPr>
            <w:tcW w:type="dxa" w:w="6192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dev and prod are independent deployments — data, identities, and secrets are never shared.</w:t>
            </w:r>
          </w:p>
        </w:tc>
      </w:tr>
      <w:tr>
        <w:tc>
          <w:tcPr>
            <w:tcW w:type="dxa" w:w="2880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Everything as code</w:t>
            </w:r>
          </w:p>
        </w:tc>
        <w:tc>
          <w:tcPr>
            <w:tcW w:type="dxa" w:w="6192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Infrastructure is Bicep. Platform config is Helm. Pipelines are Python DAGs. Quality rules are YAML.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Observable by default</w:t>
            </w:r>
          </w:p>
        </w:tc>
        <w:tc>
          <w:tcPr>
            <w:tcW w:type="dxa" w:w="6192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Every pipeline run, query, and data write is observable without SSH or tribal knowledge.</w:t>
            </w:r>
          </w:p>
        </w:tc>
      </w:tr>
      <w:tr>
        <w:tc>
          <w:tcPr>
            <w:tcW w:type="dxa" w:w="2880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Developer experience first</w:t>
            </w:r>
          </w:p>
        </w:tc>
        <w:tc>
          <w:tcPr>
            <w:tcW w:type="dxa" w:w="6192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Engineers write and test Spark code from VS Code against a live dev cluster. No local Spark.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Secure by default</w:t>
            </w:r>
          </w:p>
        </w:tc>
        <w:tc>
          <w:tcPr>
            <w:tcW w:type="dxa" w:w="6192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Workload Identity replaces secrets. Private endpoints on every PaaS. Zero long-lived credentials.</w:t>
            </w:r>
          </w:p>
        </w:tc>
      </w:tr>
    </w:tbl>
    <w:p>
      <w:pPr>
        <w:spacing w:after="120"/>
      </w:pPr>
    </w:p>
    <w:p>
      <w:pPr>
        <w:spacing w:before="240" w:after="80"/>
      </w:pPr>
      <w:r>
        <w:rPr>
          <w:b/>
          <w:color w:val="0F3C78"/>
          <w:sz w:val="36"/>
        </w:rPr>
        <w:t>3.  Reference Architecture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9072" w:type="dxa"/>
      </w:tblPr>
      <w:tblGrid>
        <w:gridCol w:w="9072"/>
      </w:tblGrid>
      <w:tr>
        <w:tc>
          <w:tcPr>
            <w:tcW w:type="dxa" w:w="9072"/>
            <w:shd w:val="clear" w:color="auto" w:fill="1A1A2E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2"/>
              </w:rPr>
              <w:t>FORGE DATA PLATFORM — ARCHITECTURE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9072" w:type="dxa"/>
      </w:tblPr>
      <w:tblGrid>
        <w:gridCol w:w="3024"/>
        <w:gridCol w:w="3024"/>
        <w:gridCol w:w="3024"/>
      </w:tblGrid>
      <w:tr>
        <w:tc>
          <w:tcPr>
            <w:tcW w:type="dxa" w:w="9072"/>
            <w:gridSpan w:val="3"/>
            <w:shd w:val="clear" w:color="auto" w:fill="0F3C78"/>
          </w:tcPr>
          <w:p>
            <w:pPr>
              <w:spacing w:before="60" w:after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DEVELOPER INTERFACES</w:t>
            </w:r>
          </w:p>
        </w:tc>
      </w:tr>
      <w:tr>
        <w:tc>
          <w:tcPr>
            <w:tcW w:type="dxa" w:w="3024"/>
            <w:shd w:val="clear" w:color="auto" w:fill="008BD4"/>
            <w:tcBorders>
              <w:top w:val="single" w:sz="6" w:space="0" w:color="FFFFFF"/>
              <w:bottom w:val="single" w:sz="6" w:space="0" w:color="FFFFFF"/>
              <w:left w:val="single" w:sz="6" w:space="0" w:color="FFFFFF"/>
              <w:right w:val="single" w:sz="6" w:space="0" w:color="FFFFFF"/>
            </w:tcBorders>
          </w:tcPr>
          <w:p>
            <w:pPr>
              <w:spacing w:before="80" w:after="80"/>
              <w:jc w:val="center"/>
            </w:pPr>
            <w:r>
              <w:rPr>
                <w:b w:val="0"/>
                <w:i w:val="0"/>
                <w:color w:val="FFFFFF"/>
                <w:sz w:val="16"/>
              </w:rPr>
              <w:t>VS Code + Spark Connect</w:t>
              <w:br/>
              <w:t>(dev — interactive)</w:t>
            </w:r>
          </w:p>
        </w:tc>
        <w:tc>
          <w:tcPr>
            <w:tcW w:type="dxa" w:w="3024"/>
            <w:shd w:val="clear" w:color="auto" w:fill="008BD4"/>
            <w:tcBorders>
              <w:top w:val="single" w:sz="6" w:space="0" w:color="FFFFFF"/>
              <w:bottom w:val="single" w:sz="6" w:space="0" w:color="FFFFFF"/>
              <w:left w:val="single" w:sz="6" w:space="0" w:color="FFFFFF"/>
              <w:right w:val="single" w:sz="6" w:space="0" w:color="FFFFFF"/>
            </w:tcBorders>
          </w:tcPr>
          <w:p>
            <w:pPr>
              <w:spacing w:before="80" w:after="80"/>
              <w:jc w:val="center"/>
            </w:pPr>
            <w:r>
              <w:rPr>
                <w:b w:val="0"/>
                <w:i w:val="0"/>
                <w:color w:val="FFFFFF"/>
                <w:sz w:val="16"/>
              </w:rPr>
              <w:t>Apache Airflow UI</w:t>
              <w:br/>
              <w:t>(DAGs, runs, logs)</w:t>
            </w:r>
          </w:p>
        </w:tc>
        <w:tc>
          <w:tcPr>
            <w:tcW w:type="dxa" w:w="3024"/>
            <w:shd w:val="clear" w:color="auto" w:fill="008BD4"/>
            <w:tcBorders>
              <w:top w:val="single" w:sz="6" w:space="0" w:color="FFFFFF"/>
              <w:bottom w:val="single" w:sz="6" w:space="0" w:color="FFFFFF"/>
              <w:left w:val="single" w:sz="6" w:space="0" w:color="FFFFFF"/>
              <w:right w:val="single" w:sz="6" w:space="0" w:color="FFFFFF"/>
            </w:tcBorders>
          </w:tcPr>
          <w:p>
            <w:pPr>
              <w:spacing w:before="80" w:after="80"/>
              <w:jc w:val="center"/>
            </w:pPr>
            <w:r>
              <w:rPr>
                <w:b w:val="0"/>
                <w:i w:val="0"/>
                <w:color w:val="FFFFFF"/>
                <w:sz w:val="16"/>
              </w:rPr>
              <w:t>Developer Portal</w:t>
              <w:br/>
              <w:t>(datasets, lineage, DQ, cost)</w:t>
            </w:r>
          </w:p>
        </w:tc>
      </w:tr>
    </w:tbl>
    <w:p>
      <w:pPr>
        <w:spacing w:after="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9072" w:type="dxa"/>
      </w:tblPr>
      <w:tblGrid>
        <w:gridCol w:w="4536"/>
        <w:gridCol w:w="4536"/>
      </w:tblGrid>
      <w:tr>
        <w:tc>
          <w:tcPr>
            <w:tcW w:type="dxa" w:w="4536"/>
            <w:shd w:val="clear" w:color="auto" w:fill="E25A1C"/>
          </w:tcPr>
          <w:p>
            <w:pPr>
              <w:spacing w:before="60" w:after="60"/>
              <w:jc w:val="center"/>
            </w:pPr>
            <w:r>
              <w:rPr>
                <w:b/>
                <w:i w:val="0"/>
                <w:color w:val="FFFFFF"/>
                <w:sz w:val="16"/>
              </w:rPr>
              <w:t>COMPUTE CLUSTER</w:t>
            </w:r>
          </w:p>
        </w:tc>
        <w:tc>
          <w:tcPr>
            <w:tcW w:type="dxa" w:w="4536"/>
            <w:shd w:val="clear" w:color="auto" w:fill="107C10"/>
          </w:tcPr>
          <w:p>
            <w:pPr>
              <w:spacing w:before="60" w:after="60"/>
              <w:jc w:val="center"/>
            </w:pPr>
            <w:r>
              <w:rPr>
                <w:b/>
                <w:i w:val="0"/>
                <w:color w:val="FFFFFF"/>
                <w:sz w:val="16"/>
              </w:rPr>
              <w:t>ORCHESTRATION CLUSTER</w:t>
            </w:r>
          </w:p>
        </w:tc>
      </w:tr>
      <w:tr>
        <w:tc>
          <w:tcPr>
            <w:tcW w:type="dxa" w:w="4536"/>
            <w:shd w:val="clear" w:color="auto" w:fill="FFF3EB"/>
          </w:tcPr>
          <w:p>
            <w:pPr>
              <w:spacing w:before="20" w:after="20"/>
            </w:pPr>
            <w:r>
              <w:rPr>
                <w:color w:val="444444"/>
                <w:sz w:val="16"/>
              </w:rPr>
              <w:t>• Spark Operator (batch jobs)</w:t>
            </w:r>
          </w:p>
          <w:p>
            <w:pPr>
              <w:spacing w:before="20" w:after="20"/>
            </w:pPr>
            <w:r>
              <w:rPr>
                <w:color w:val="444444"/>
                <w:sz w:val="16"/>
              </w:rPr>
              <w:t>• Spark Connect * (dev only)</w:t>
            </w:r>
          </w:p>
          <w:p>
            <w:pPr>
              <w:spacing w:before="20" w:after="20"/>
            </w:pPr>
            <w:r>
              <w:rPr>
                <w:color w:val="444444"/>
                <w:sz w:val="16"/>
              </w:rPr>
              <w:t>• Trino (federated SQL)</w:t>
            </w:r>
          </w:p>
          <w:p>
            <w:pPr>
              <w:spacing w:before="20" w:after="20"/>
            </w:pPr>
            <w:r>
              <w:rPr>
                <w:color w:val="444444"/>
                <w:sz w:val="16"/>
              </w:rPr>
            </w:r>
          </w:p>
          <w:p>
            <w:pPr>
              <w:spacing w:before="20" w:after="20"/>
            </w:pPr>
            <w:r>
              <w:rPr>
                <w:color w:val="444444"/>
                <w:sz w:val="16"/>
              </w:rPr>
              <w:t>Node pools:</w:t>
            </w:r>
          </w:p>
          <w:p>
            <w:pPr>
              <w:spacing w:before="20" w:after="20"/>
            </w:pPr>
            <w:r>
              <w:rPr>
                <w:color w:val="444444"/>
                <w:sz w:val="16"/>
              </w:rPr>
              <w:t xml:space="preserve">  systempool  Standard_D4s_v5</w:t>
            </w:r>
          </w:p>
          <w:p>
            <w:pPr>
              <w:spacing w:before="20" w:after="20"/>
            </w:pPr>
            <w:r>
              <w:rPr>
                <w:color w:val="444444"/>
                <w:sz w:val="16"/>
              </w:rPr>
              <w:t xml:space="preserve">  sparkpool   Standard_E8s_v5  (0→5)</w:t>
            </w:r>
          </w:p>
          <w:p>
            <w:pPr>
              <w:spacing w:before="20" w:after="20"/>
            </w:pPr>
            <w:r>
              <w:rPr>
                <w:color w:val="444444"/>
                <w:sz w:val="16"/>
              </w:rPr>
              <w:t xml:space="preserve">  trinopool   Standard_D4s_v5  (0→3)</w:t>
            </w:r>
          </w:p>
        </w:tc>
        <w:tc>
          <w:tcPr>
            <w:tcW w:type="dxa" w:w="4536"/>
            <w:shd w:val="clear" w:color="auto" w:fill="EBF5EB"/>
          </w:tcPr>
          <w:p>
            <w:pPr>
              <w:spacing w:before="20" w:after="20"/>
            </w:pPr>
            <w:r>
              <w:rPr>
                <w:color w:val="444444"/>
                <w:sz w:val="16"/>
              </w:rPr>
              <w:t>• Apache Airflow 3.x (KubernetesExecutor)</w:t>
            </w:r>
          </w:p>
          <w:p>
            <w:pPr>
              <w:spacing w:before="20" w:after="20"/>
            </w:pPr>
            <w:r>
              <w:rPr>
                <w:color w:val="444444"/>
                <w:sz w:val="16"/>
              </w:rPr>
              <w:t>• DQ Framework (YAML rule engine)</w:t>
            </w:r>
          </w:p>
          <w:p>
            <w:pPr>
              <w:spacing w:before="20" w:after="20"/>
            </w:pPr>
            <w:r>
              <w:rPr>
                <w:color w:val="444444"/>
                <w:sz w:val="16"/>
              </w:rPr>
              <w:t>• Developer Portal (FastAPI + Next.js)</w:t>
            </w:r>
          </w:p>
          <w:p>
            <w:pPr>
              <w:spacing w:before="20" w:after="20"/>
            </w:pPr>
            <w:r>
              <w:rPr>
                <w:color w:val="444444"/>
                <w:sz w:val="16"/>
              </w:rPr>
              <w:t>• Azure Monitor Agent (DaemonSet)</w:t>
            </w:r>
          </w:p>
          <w:p>
            <w:pPr>
              <w:spacing w:before="20" w:after="20"/>
            </w:pPr>
            <w:r>
              <w:rPr>
                <w:color w:val="444444"/>
                <w:sz w:val="16"/>
              </w:rPr>
            </w:r>
          </w:p>
          <w:p>
            <w:pPr>
              <w:spacing w:before="20" w:after="20"/>
            </w:pPr>
            <w:r>
              <w:rPr>
                <w:color w:val="444444"/>
                <w:sz w:val="16"/>
              </w:rPr>
              <w:t>Node pools:</w:t>
            </w:r>
          </w:p>
          <w:p>
            <w:pPr>
              <w:spacing w:before="20" w:after="20"/>
            </w:pPr>
            <w:r>
              <w:rPr>
                <w:color w:val="444444"/>
                <w:sz w:val="16"/>
              </w:rPr>
              <w:t xml:space="preserve">  systempool   Standard_D4s_v5</w:t>
            </w:r>
          </w:p>
          <w:p>
            <w:pPr>
              <w:spacing w:before="20" w:after="20"/>
            </w:pPr>
            <w:r>
              <w:rPr>
                <w:color w:val="444444"/>
                <w:sz w:val="16"/>
              </w:rPr>
              <w:t xml:space="preserve">  workerpool   Standard_D4s_v5  (1→3)</w:t>
            </w:r>
          </w:p>
        </w:tc>
      </w:tr>
    </w:tbl>
    <w:p>
      <w:pPr>
        <w:spacing w:after="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9072" w:type="dxa"/>
      </w:tblPr>
      <w:tblGrid>
        <w:gridCol w:w="3024"/>
        <w:gridCol w:w="3024"/>
        <w:gridCol w:w="3024"/>
      </w:tblGrid>
      <w:tr>
        <w:tc>
          <w:tcPr>
            <w:tcW w:type="dxa" w:w="9072"/>
            <w:gridSpan w:val="3"/>
            <w:shd w:val="clear" w:color="auto" w:fill="5C2D91"/>
          </w:tcPr>
          <w:p>
            <w:pPr>
              <w:spacing w:before="60" w:after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ADLS GEN2 LAKEHOUSE  (Delta Lake · Hierarchical Namespace)</w:t>
            </w:r>
          </w:p>
        </w:tc>
      </w:tr>
      <w:tr>
        <w:tc>
          <w:tcPr>
            <w:tcW w:type="dxa" w:w="3024"/>
            <w:shd w:val="clear" w:color="auto" w:fill="CD7F32"/>
            <w:tcBorders>
              <w:top w:val="single" w:sz="6" w:space="0" w:color="FFFFFF"/>
              <w:bottom w:val="single" w:sz="6" w:space="0" w:color="FFFFFF"/>
              <w:left w:val="single" w:sz="6" w:space="0" w:color="FFFFFF"/>
              <w:right w:val="single" w:sz="6" w:space="0" w:color="FFFFFF"/>
            </w:tcBorders>
          </w:tcPr>
          <w:p>
            <w:pPr>
              <w:spacing w:before="60" w:after="20"/>
              <w:jc w:val="center"/>
            </w:pPr>
            <w:r>
              <w:rPr>
                <w:b/>
                <w:color w:val="FFFFFF"/>
                <w:sz w:val="20"/>
              </w:rPr>
              <w:t>bronze/</w:t>
            </w:r>
          </w:p>
          <w:p>
            <w:pPr>
              <w:spacing w:before="20" w:after="60"/>
              <w:jc w:val="center"/>
            </w:pPr>
            <w:r>
              <w:rPr>
                <w:color w:val="FFFFFF"/>
                <w:sz w:val="14"/>
              </w:rPr>
              <w:t>Raw, append-only</w:t>
              <w:br/>
              <w:t>Immutable source of truth</w:t>
              <w:br/>
              <w:t>Schema-on-read</w:t>
            </w:r>
          </w:p>
        </w:tc>
        <w:tc>
          <w:tcPr>
            <w:tcW w:type="dxa" w:w="3024"/>
            <w:shd w:val="clear" w:color="auto" w:fill="707F8F"/>
            <w:tcBorders>
              <w:top w:val="single" w:sz="6" w:space="0" w:color="FFFFFF"/>
              <w:bottom w:val="single" w:sz="6" w:space="0" w:color="FFFFFF"/>
              <w:left w:val="single" w:sz="6" w:space="0" w:color="FFFFFF"/>
              <w:right w:val="single" w:sz="6" w:space="0" w:color="FFFFFF"/>
            </w:tcBorders>
          </w:tcPr>
          <w:p>
            <w:pPr>
              <w:spacing w:before="60" w:after="20"/>
              <w:jc w:val="center"/>
            </w:pPr>
            <w:r>
              <w:rPr>
                <w:b/>
                <w:color w:val="FFFFFF"/>
                <w:sz w:val="20"/>
              </w:rPr>
              <w:t>silver/</w:t>
            </w:r>
          </w:p>
          <w:p>
            <w:pPr>
              <w:spacing w:before="20" w:after="60"/>
              <w:jc w:val="center"/>
            </w:pPr>
            <w:r>
              <w:rPr>
                <w:color w:val="FFFFFF"/>
                <w:sz w:val="14"/>
              </w:rPr>
              <w:t>Cleaned, schema-enforced</w:t>
              <w:br/>
              <w:t>DQ-validated</w:t>
              <w:br/>
              <w:t>Delta Lake ACID</w:t>
            </w:r>
          </w:p>
        </w:tc>
        <w:tc>
          <w:tcPr>
            <w:tcW w:type="dxa" w:w="3024"/>
            <w:shd w:val="clear" w:color="auto" w:fill="C9A800"/>
            <w:tcBorders>
              <w:top w:val="single" w:sz="6" w:space="0" w:color="FFFFFF"/>
              <w:bottom w:val="single" w:sz="6" w:space="0" w:color="FFFFFF"/>
              <w:left w:val="single" w:sz="6" w:space="0" w:color="FFFFFF"/>
              <w:right w:val="single" w:sz="6" w:space="0" w:color="FFFFFF"/>
            </w:tcBorders>
          </w:tcPr>
          <w:p>
            <w:pPr>
              <w:spacing w:before="60" w:after="20"/>
              <w:jc w:val="center"/>
            </w:pPr>
            <w:r>
              <w:rPr>
                <w:b/>
                <w:color w:val="FFFFFF"/>
                <w:sz w:val="20"/>
              </w:rPr>
              <w:t>gold/</w:t>
            </w:r>
          </w:p>
          <w:p>
            <w:pPr>
              <w:spacing w:before="20" w:after="60"/>
              <w:jc w:val="center"/>
            </w:pPr>
            <w:r>
              <w:rPr>
                <w:color w:val="FFFFFF"/>
                <w:sz w:val="14"/>
              </w:rPr>
              <w:t>Aggregated, SLA-governed</w:t>
              <w:br/>
              <w:t>Consumer-ready</w:t>
              <w:br/>
              <w:t>Read by BI / ML / Portal</w:t>
            </w:r>
          </w:p>
        </w:tc>
      </w:tr>
    </w:tbl>
    <w:p>
      <w:pPr>
        <w:spacing w:after="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9072" w:type="dxa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9070"/>
            <w:gridSpan w:val="5"/>
            <w:shd w:val="clear" w:color="auto" w:fill="1A1A2E"/>
          </w:tcPr>
          <w:p>
            <w:pPr>
              <w:spacing w:before="60" w:after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SHARED AZURE SERVICES</w:t>
            </w:r>
          </w:p>
        </w:tc>
      </w:tr>
      <w:tr>
        <w:tc>
          <w:tcPr>
            <w:tcW w:type="dxa" w:w="1814"/>
            <w:shd w:val="clear" w:color="auto" w:fill="0078D4"/>
            <w:tcBorders>
              <w:top w:val="single" w:sz="4" w:space="0" w:color="FFFFFF"/>
              <w:bottom w:val="single" w:sz="4" w:space="0" w:color="FFFFFF"/>
              <w:left w:val="single" w:sz="4" w:space="0" w:color="FFFFFF"/>
              <w:right w:val="single" w:sz="4" w:space="0" w:color="FFFFFF"/>
            </w:tcBorders>
          </w:tcPr>
          <w:p>
            <w:pPr>
              <w:spacing w:before="60" w:after="20"/>
              <w:jc w:val="center"/>
            </w:pPr>
            <w:r>
              <w:rPr>
                <w:b/>
                <w:color w:val="FFFFFF"/>
                <w:sz w:val="16"/>
              </w:rPr>
              <w:t>Key Vault</w:t>
            </w:r>
          </w:p>
          <w:p>
            <w:pPr>
              <w:spacing w:before="0" w:after="60"/>
              <w:jc w:val="center"/>
            </w:pPr>
            <w:r>
              <w:rPr>
                <w:color w:val="CCE4FF"/>
                <w:sz w:val="14"/>
              </w:rPr>
              <w:t>Secrets +</w:t>
              <w:br/>
              <w:t>HSM keys</w:t>
            </w:r>
          </w:p>
        </w:tc>
        <w:tc>
          <w:tcPr>
            <w:tcW w:type="dxa" w:w="1814"/>
            <w:shd w:val="clear" w:color="auto" w:fill="0078D4"/>
            <w:tcBorders>
              <w:top w:val="single" w:sz="4" w:space="0" w:color="FFFFFF"/>
              <w:bottom w:val="single" w:sz="4" w:space="0" w:color="FFFFFF"/>
              <w:left w:val="single" w:sz="4" w:space="0" w:color="FFFFFF"/>
              <w:right w:val="single" w:sz="4" w:space="0" w:color="FFFFFF"/>
            </w:tcBorders>
          </w:tcPr>
          <w:p>
            <w:pPr>
              <w:spacing w:before="60" w:after="20"/>
              <w:jc w:val="center"/>
            </w:pPr>
            <w:r>
              <w:rPr>
                <w:b/>
                <w:color w:val="FFFFFF"/>
                <w:sz w:val="16"/>
              </w:rPr>
              <w:t>ACR</w:t>
            </w:r>
          </w:p>
          <w:p>
            <w:pPr>
              <w:spacing w:before="0" w:after="60"/>
              <w:jc w:val="center"/>
            </w:pPr>
            <w:r>
              <w:rPr>
                <w:color w:val="CCE4FF"/>
                <w:sz w:val="14"/>
              </w:rPr>
              <w:t>Private</w:t>
              <w:br/>
              <w:t>image registry</w:t>
            </w:r>
          </w:p>
        </w:tc>
        <w:tc>
          <w:tcPr>
            <w:tcW w:type="dxa" w:w="1814"/>
            <w:shd w:val="clear" w:color="auto" w:fill="0078D4"/>
            <w:tcBorders>
              <w:top w:val="single" w:sz="4" w:space="0" w:color="FFFFFF"/>
              <w:bottom w:val="single" w:sz="4" w:space="0" w:color="FFFFFF"/>
              <w:left w:val="single" w:sz="4" w:space="0" w:color="FFFFFF"/>
              <w:right w:val="single" w:sz="4" w:space="0" w:color="FFFFFF"/>
            </w:tcBorders>
          </w:tcPr>
          <w:p>
            <w:pPr>
              <w:spacing w:before="60" w:after="20"/>
              <w:jc w:val="center"/>
            </w:pPr>
            <w:r>
              <w:rPr>
                <w:b/>
                <w:color w:val="FFFFFF"/>
                <w:sz w:val="16"/>
              </w:rPr>
              <w:t>Log Analytics</w:t>
              <w:br/>
              <w:t>+ Grafana</w:t>
            </w:r>
          </w:p>
          <w:p>
            <w:pPr>
              <w:spacing w:before="0" w:after="60"/>
              <w:jc w:val="center"/>
            </w:pPr>
            <w:r>
              <w:rPr>
                <w:color w:val="CCE4FF"/>
                <w:sz w:val="14"/>
              </w:rPr>
              <w:t>Metrics, logs</w:t>
              <w:br/>
              <w:t>alerts, dashboards</w:t>
            </w:r>
          </w:p>
        </w:tc>
        <w:tc>
          <w:tcPr>
            <w:tcW w:type="dxa" w:w="1814"/>
            <w:shd w:val="clear" w:color="auto" w:fill="0078D4"/>
            <w:tcBorders>
              <w:top w:val="single" w:sz="4" w:space="0" w:color="FFFFFF"/>
              <w:bottom w:val="single" w:sz="4" w:space="0" w:color="FFFFFF"/>
              <w:left w:val="single" w:sz="4" w:space="0" w:color="FFFFFF"/>
              <w:right w:val="single" w:sz="4" w:space="0" w:color="FFFFFF"/>
            </w:tcBorders>
          </w:tcPr>
          <w:p>
            <w:pPr>
              <w:spacing w:before="60" w:after="20"/>
              <w:jc w:val="center"/>
            </w:pPr>
            <w:r>
              <w:rPr>
                <w:b/>
                <w:color w:val="FFFFFF"/>
                <w:sz w:val="16"/>
              </w:rPr>
              <w:t>Defender</w:t>
            </w:r>
          </w:p>
          <w:p>
            <w:pPr>
              <w:spacing w:before="0" w:after="60"/>
              <w:jc w:val="center"/>
            </w:pPr>
            <w:r>
              <w:rPr>
                <w:color w:val="CCE4FF"/>
                <w:sz w:val="14"/>
              </w:rPr>
              <w:t>Runtime threat</w:t>
              <w:br/>
              <w:t>detection (S360)</w:t>
            </w:r>
          </w:p>
        </w:tc>
        <w:tc>
          <w:tcPr>
            <w:tcW w:type="dxa" w:w="1814"/>
            <w:shd w:val="clear" w:color="auto" w:fill="0078D4"/>
            <w:tcBorders>
              <w:top w:val="single" w:sz="4" w:space="0" w:color="FFFFFF"/>
              <w:bottom w:val="single" w:sz="4" w:space="0" w:color="FFFFFF"/>
              <w:left w:val="single" w:sz="4" w:space="0" w:color="FFFFFF"/>
              <w:right w:val="single" w:sz="4" w:space="0" w:color="FFFFFF"/>
            </w:tcBorders>
          </w:tcPr>
          <w:p>
            <w:pPr>
              <w:spacing w:before="60" w:after="20"/>
              <w:jc w:val="center"/>
            </w:pPr>
            <w:r>
              <w:rPr>
                <w:b/>
                <w:color w:val="FFFFFF"/>
                <w:sz w:val="16"/>
              </w:rPr>
              <w:t>Private DNS</w:t>
              <w:br/>
              <w:t>+ Endpoints</w:t>
            </w:r>
          </w:p>
          <w:p>
            <w:pPr>
              <w:spacing w:before="0" w:after="60"/>
              <w:jc w:val="center"/>
            </w:pPr>
            <w:r>
              <w:rPr>
                <w:color w:val="CCE4FF"/>
                <w:sz w:val="14"/>
              </w:rPr>
              <w:t>No public</w:t>
              <w:br/>
              <w:t>data plane</w:t>
            </w:r>
          </w:p>
        </w:tc>
      </w:tr>
    </w:tbl>
    <w:p>
      <w:pPr>
        <w:spacing w:after="40"/>
      </w:pPr>
    </w:p>
    <w:p>
      <w:pPr>
        <w:spacing w:before="0" w:after="0"/>
      </w:pPr>
      <w:r>
        <w:rPr>
          <w:i/>
          <w:color w:val="444444"/>
          <w:sz w:val="14"/>
        </w:rPr>
        <w:t>* Spark Connect available in dev environment only — interactive VS Code sessions against live cluster.</w:t>
      </w:r>
    </w:p>
    <w:p>
      <w:pPr>
        <w:spacing w:after="120"/>
      </w:pPr>
    </w:p>
    <w:p>
      <w:pPr>
        <w:spacing w:before="240" w:after="80"/>
      </w:pPr>
      <w:r>
        <w:rPr>
          <w:b/>
          <w:color w:val="0F3C78"/>
          <w:sz w:val="36"/>
        </w:rPr>
        <w:t>4.  Two-Cluster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28"/>
            <w:shd w:val="clear" w:color="auto" w:fill="0F3C78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18"/>
              </w:rPr>
              <w:t>Cluster</w:t>
            </w:r>
          </w:p>
        </w:tc>
        <w:tc>
          <w:tcPr>
            <w:tcW w:type="dxa" w:w="3312"/>
            <w:shd w:val="clear" w:color="auto" w:fill="0F3C78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18"/>
              </w:rPr>
              <w:t>Name</w:t>
            </w:r>
          </w:p>
        </w:tc>
        <w:tc>
          <w:tcPr>
            <w:tcW w:type="dxa" w:w="2304"/>
            <w:shd w:val="clear" w:color="auto" w:fill="0F3C78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18"/>
              </w:rPr>
              <w:t>Purpose</w:t>
            </w:r>
          </w:p>
        </w:tc>
        <w:tc>
          <w:tcPr>
            <w:tcW w:type="dxa" w:w="2160"/>
            <w:shd w:val="clear" w:color="auto" w:fill="0F3C78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18"/>
              </w:rPr>
              <w:t>Key Components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Compute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aks-forge-compute-{alias}-{env}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Elastic data processing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Spark Operator, Spark Connect (dev), Trino</w:t>
            </w:r>
          </w:p>
        </w:tc>
      </w:tr>
      <w:tr>
        <w:tc>
          <w:tcPr>
            <w:tcW w:type="dxa" w:w="1728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Orchestration</w:t>
            </w:r>
          </w:p>
        </w:tc>
        <w:tc>
          <w:tcPr>
            <w:tcW w:type="dxa" w:w="3312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aks-forge-orchestration-{alias}-{env}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Stable control-plane services</w:t>
            </w:r>
          </w:p>
        </w:tc>
        <w:tc>
          <w:tcPr>
            <w:tcW w:type="dxa" w:w="2160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Airflow, DQ runner, Developer Portal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b/>
          <w:color w:val="0F3C78"/>
          <w:sz w:val="22"/>
        </w:rPr>
        <w:t>Node Pools — Compute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72"/>
            <w:shd w:val="clear" w:color="auto" w:fill="0F3C78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18"/>
              </w:rPr>
              <w:t>Pool</w:t>
            </w:r>
          </w:p>
        </w:tc>
        <w:tc>
          <w:tcPr>
            <w:tcW w:type="dxa" w:w="2592"/>
            <w:shd w:val="clear" w:color="auto" w:fill="0F3C78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18"/>
              </w:rPr>
              <w:t>VM Size</w:t>
            </w:r>
          </w:p>
        </w:tc>
        <w:tc>
          <w:tcPr>
            <w:tcW w:type="dxa" w:w="720"/>
            <w:shd w:val="clear" w:color="auto" w:fill="0F3C78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18"/>
              </w:rPr>
              <w:t>Min</w:t>
            </w:r>
          </w:p>
        </w:tc>
        <w:tc>
          <w:tcPr>
            <w:tcW w:type="dxa" w:w="1296"/>
            <w:shd w:val="clear" w:color="auto" w:fill="0F3C78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18"/>
              </w:rPr>
              <w:t>Max (dev)</w:t>
            </w:r>
          </w:p>
        </w:tc>
        <w:tc>
          <w:tcPr>
            <w:tcW w:type="dxa" w:w="2880"/>
            <w:shd w:val="clear" w:color="auto" w:fill="0F3C78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18"/>
              </w:rPr>
              <w:t>Workload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systempool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Standard_D4s_v5</w:t>
            </w:r>
          </w:p>
        </w:tc>
        <w:tc>
          <w:tcPr>
            <w:tcW w:type="dxa" w:w="72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1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2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System addons only (CriticalAddonsOnly taint)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sparkpool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Standard_E8s_v5</w:t>
            </w:r>
          </w:p>
        </w:tc>
        <w:tc>
          <w:tcPr>
            <w:tcW w:type="dxa" w:w="720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0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5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Spark executors — memory-optimised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trinopool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Standard_D4s_v5</w:t>
            </w:r>
          </w:p>
        </w:tc>
        <w:tc>
          <w:tcPr>
            <w:tcW w:type="dxa" w:w="72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0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3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Trino workers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b/>
          <w:color w:val="0F3C78"/>
          <w:sz w:val="22"/>
        </w:rPr>
        <w:t>Node Pools — Orchestration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72"/>
            <w:shd w:val="clear" w:color="auto" w:fill="0F3C78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18"/>
              </w:rPr>
              <w:t>Pool</w:t>
            </w:r>
          </w:p>
        </w:tc>
        <w:tc>
          <w:tcPr>
            <w:tcW w:type="dxa" w:w="2592"/>
            <w:shd w:val="clear" w:color="auto" w:fill="0F3C78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18"/>
              </w:rPr>
              <w:t>VM Size</w:t>
            </w:r>
          </w:p>
        </w:tc>
        <w:tc>
          <w:tcPr>
            <w:tcW w:type="dxa" w:w="720"/>
            <w:shd w:val="clear" w:color="auto" w:fill="0F3C78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18"/>
              </w:rPr>
              <w:t>Min</w:t>
            </w:r>
          </w:p>
        </w:tc>
        <w:tc>
          <w:tcPr>
            <w:tcW w:type="dxa" w:w="1296"/>
            <w:shd w:val="clear" w:color="auto" w:fill="0F3C78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18"/>
              </w:rPr>
              <w:t>Max (dev)</w:t>
            </w:r>
          </w:p>
        </w:tc>
        <w:tc>
          <w:tcPr>
            <w:tcW w:type="dxa" w:w="2880"/>
            <w:shd w:val="clear" w:color="auto" w:fill="0F3C78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18"/>
              </w:rPr>
              <w:t>Workload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systempool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Standard_D4s_v5</w:t>
            </w:r>
          </w:p>
        </w:tc>
        <w:tc>
          <w:tcPr>
            <w:tcW w:type="dxa" w:w="72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1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2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System addons only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workerpool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Standard_D4s_v5</w:t>
            </w:r>
          </w:p>
        </w:tc>
        <w:tc>
          <w:tcPr>
            <w:tcW w:type="dxa" w:w="720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1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3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Airflow, DQ runner, Developer Portal</w:t>
            </w:r>
          </w:p>
        </w:tc>
      </w:tr>
    </w:tbl>
    <w:p>
      <w:pPr>
        <w:spacing w:after="120"/>
      </w:pPr>
    </w:p>
    <w:p>
      <w:pPr>
        <w:spacing w:before="240" w:after="80"/>
      </w:pPr>
      <w:r>
        <w:rPr>
          <w:b/>
          <w:color w:val="0F3C78"/>
          <w:sz w:val="36"/>
        </w:rPr>
        <w:t>5.  Medallion Lakehouse (ADLS Gen2)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008"/>
            <w:shd w:val="clear" w:color="auto" w:fill="0F3C78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18"/>
              </w:rPr>
              <w:t>Layer</w:t>
            </w:r>
          </w:p>
        </w:tc>
        <w:tc>
          <w:tcPr>
            <w:tcW w:type="dxa" w:w="1296"/>
            <w:shd w:val="clear" w:color="auto" w:fill="0F3C78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18"/>
              </w:rPr>
              <w:t>Container</w:t>
            </w:r>
          </w:p>
        </w:tc>
        <w:tc>
          <w:tcPr>
            <w:tcW w:type="dxa" w:w="1296"/>
            <w:shd w:val="clear" w:color="auto" w:fill="0F3C78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18"/>
              </w:rPr>
              <w:t>Format</w:t>
            </w:r>
          </w:p>
        </w:tc>
        <w:tc>
          <w:tcPr>
            <w:tcW w:type="dxa" w:w="3168"/>
            <w:shd w:val="clear" w:color="auto" w:fill="0F3C78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18"/>
              </w:rPr>
              <w:t>Purpose</w:t>
            </w:r>
          </w:p>
        </w:tc>
        <w:tc>
          <w:tcPr>
            <w:tcW w:type="dxa" w:w="1152"/>
            <w:shd w:val="clear" w:color="auto" w:fill="0F3C78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18"/>
              </w:rPr>
              <w:t>Writers</w:t>
            </w:r>
          </w:p>
        </w:tc>
        <w:tc>
          <w:tcPr>
            <w:tcW w:type="dxa" w:w="1152"/>
            <w:shd w:val="clear" w:color="auto" w:fill="0F3C78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18"/>
              </w:rPr>
              <w:t>Readers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Bronze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bronze/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Delta / raw</w:t>
            </w:r>
          </w:p>
        </w:tc>
        <w:tc>
          <w:tcPr>
            <w:tcW w:type="dxa" w:w="3168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Immutable source of truth, append-only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Airflow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Spark</w:t>
            </w:r>
          </w:p>
        </w:tc>
      </w:tr>
      <w:tr>
        <w:tc>
          <w:tcPr>
            <w:tcW w:type="dxa" w:w="1008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Silver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silver/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Delta Lake</w:t>
            </w:r>
          </w:p>
        </w:tc>
        <w:tc>
          <w:tcPr>
            <w:tcW w:type="dxa" w:w="3168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Cleaned, schema-enforced, DQ-validated</w:t>
            </w:r>
          </w:p>
        </w:tc>
        <w:tc>
          <w:tcPr>
            <w:tcW w:type="dxa" w:w="1152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Spark</w:t>
            </w:r>
          </w:p>
        </w:tc>
        <w:tc>
          <w:tcPr>
            <w:tcW w:type="dxa" w:w="1152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Spark, Trino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Gold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gold/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Delta Lake</w:t>
            </w:r>
          </w:p>
        </w:tc>
        <w:tc>
          <w:tcPr>
            <w:tcW w:type="dxa" w:w="3168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Aggregated, SLA-governed, consumer-ready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Spark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Trino, Portal</w:t>
            </w:r>
          </w:p>
        </w:tc>
      </w:tr>
      <w:tr>
        <w:tc>
          <w:tcPr>
            <w:tcW w:type="dxa" w:w="1008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Code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code/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Files</w:t>
            </w:r>
          </w:p>
        </w:tc>
        <w:tc>
          <w:tcPr>
            <w:tcW w:type="dxa" w:w="3168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Job notebooks, JARs, runner scripts</w:t>
            </w:r>
          </w:p>
        </w:tc>
        <w:tc>
          <w:tcPr>
            <w:tcW w:type="dxa" w:w="1152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CI/CD</w:t>
            </w:r>
          </w:p>
        </w:tc>
        <w:tc>
          <w:tcPr>
            <w:tcW w:type="dxa" w:w="1152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Spark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Ckpts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checkpoints/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Delta state</w:t>
            </w:r>
          </w:p>
        </w:tc>
        <w:tc>
          <w:tcPr>
            <w:tcW w:type="dxa" w:w="3168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Structured Streaming checkpoint state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Spark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Spark</w:t>
            </w:r>
          </w:p>
        </w:tc>
      </w:tr>
    </w:tbl>
    <w:p>
      <w:pPr>
        <w:spacing w:after="120"/>
      </w:pPr>
    </w:p>
    <w:p>
      <w:pPr>
        <w:spacing w:before="240" w:after="80"/>
      </w:pPr>
      <w:r>
        <w:rPr>
          <w:b/>
          <w:color w:val="0F3C78"/>
          <w:sz w:val="36"/>
        </w:rPr>
        <w:t>6.  Managed Identities</w:t>
      </w:r>
    </w:p>
    <w:p>
      <w:pPr>
        <w:spacing w:before="40" w:after="40"/>
      </w:pPr>
      <w:r>
        <w:rPr>
          <w:color w:val="444444"/>
          <w:sz w:val="20"/>
        </w:rPr>
        <w:t>9 identities per environment — 4 AKS infrastructure, 5 workload.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4032"/>
            <w:shd w:val="clear" w:color="auto" w:fill="0F3C78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18"/>
              </w:rPr>
              <w:t>Identity</w:t>
            </w:r>
          </w:p>
        </w:tc>
        <w:tc>
          <w:tcPr>
            <w:tcW w:type="dxa" w:w="1152"/>
            <w:shd w:val="clear" w:color="auto" w:fill="0F3C78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18"/>
              </w:rPr>
              <w:t>Type</w:t>
            </w:r>
          </w:p>
        </w:tc>
        <w:tc>
          <w:tcPr>
            <w:tcW w:type="dxa" w:w="3168"/>
            <w:shd w:val="clear" w:color="auto" w:fill="0F3C78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18"/>
              </w:rPr>
              <w:t>Storage Access</w:t>
            </w:r>
          </w:p>
        </w:tc>
        <w:tc>
          <w:tcPr>
            <w:tcW w:type="dxa" w:w="1440"/>
            <w:shd w:val="clear" w:color="auto" w:fill="0F3C78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18"/>
              </w:rPr>
              <w:t>KV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id-aks-controlplane-compute-{alias}-{env}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AKS infra</w:t>
            </w:r>
          </w:p>
        </w:tc>
        <w:tc>
          <w:tcPr>
            <w:tcW w:type="dxa" w:w="3168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None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—</w:t>
            </w:r>
          </w:p>
        </w:tc>
      </w:tr>
      <w:tr>
        <w:tc>
          <w:tcPr>
            <w:tcW w:type="dxa" w:w="4032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id-aks-kubelet-compute-{alias}-{env}</w:t>
            </w:r>
          </w:p>
        </w:tc>
        <w:tc>
          <w:tcPr>
            <w:tcW w:type="dxa" w:w="1152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AKS infra</w:t>
            </w:r>
          </w:p>
        </w:tc>
        <w:tc>
          <w:tcPr>
            <w:tcW w:type="dxa" w:w="3168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None (ACR pull via separate assignment)</w:t>
            </w:r>
          </w:p>
        </w:tc>
        <w:tc>
          <w:tcPr>
            <w:tcW w:type="dxa" w:w="1440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—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id-aks-controlplane-orchestration-{alias}-{env}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AKS infra</w:t>
            </w:r>
          </w:p>
        </w:tc>
        <w:tc>
          <w:tcPr>
            <w:tcW w:type="dxa" w:w="3168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None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—</w:t>
            </w:r>
          </w:p>
        </w:tc>
      </w:tr>
      <w:tr>
        <w:tc>
          <w:tcPr>
            <w:tcW w:type="dxa" w:w="4032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id-aks-kubelet-orchestration-{alias}-{env}</w:t>
            </w:r>
          </w:p>
        </w:tc>
        <w:tc>
          <w:tcPr>
            <w:tcW w:type="dxa" w:w="1152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AKS infra</w:t>
            </w:r>
          </w:p>
        </w:tc>
        <w:tc>
          <w:tcPr>
            <w:tcW w:type="dxa" w:w="3168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None (ACR pull)</w:t>
            </w:r>
          </w:p>
        </w:tc>
        <w:tc>
          <w:tcPr>
            <w:tcW w:type="dxa" w:w="1440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—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id-forge-spark-{alias}-{env}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Workload</w:t>
            </w:r>
          </w:p>
        </w:tc>
        <w:tc>
          <w:tcPr>
            <w:tcW w:type="dxa" w:w="3168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Contributor: bronze, silver, gold, code, ckpts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Secrets User</w:t>
            </w:r>
          </w:p>
        </w:tc>
      </w:tr>
      <w:tr>
        <w:tc>
          <w:tcPr>
            <w:tcW w:type="dxa" w:w="4032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id-forge-trino-{alias}-{env}</w:t>
            </w:r>
          </w:p>
        </w:tc>
        <w:tc>
          <w:tcPr>
            <w:tcW w:type="dxa" w:w="1152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Workload</w:t>
            </w:r>
          </w:p>
        </w:tc>
        <w:tc>
          <w:tcPr>
            <w:tcW w:type="dxa" w:w="3168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Reader: silver, gold</w:t>
            </w:r>
          </w:p>
        </w:tc>
        <w:tc>
          <w:tcPr>
            <w:tcW w:type="dxa" w:w="1440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Secrets User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id-forge-airflow-{alias}-{env}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Workload</w:t>
            </w:r>
          </w:p>
        </w:tc>
        <w:tc>
          <w:tcPr>
            <w:tcW w:type="dxa" w:w="3168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Contributor: bronze · Reader: code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Secrets User</w:t>
            </w:r>
          </w:p>
        </w:tc>
      </w:tr>
      <w:tr>
        <w:tc>
          <w:tcPr>
            <w:tcW w:type="dxa" w:w="4032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id-forge-dq-{alias}-{env}</w:t>
            </w:r>
          </w:p>
        </w:tc>
        <w:tc>
          <w:tcPr>
            <w:tcW w:type="dxa" w:w="1152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Workload</w:t>
            </w:r>
          </w:p>
        </w:tc>
        <w:tc>
          <w:tcPr>
            <w:tcW w:type="dxa" w:w="3168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Reader: bronze, silver, gold</w:t>
            </w:r>
          </w:p>
        </w:tc>
        <w:tc>
          <w:tcPr>
            <w:tcW w:type="dxa" w:w="1440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Secrets User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id-forge-portal-{alias}-{env}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Workload</w:t>
            </w:r>
          </w:p>
        </w:tc>
        <w:tc>
          <w:tcPr>
            <w:tcW w:type="dxa" w:w="3168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Reader: gold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Secrets User</w:t>
            </w:r>
          </w:p>
        </w:tc>
      </w:tr>
    </w:tbl>
    <w:p>
      <w:pPr>
        <w:spacing w:after="120"/>
      </w:pPr>
    </w:p>
    <w:p>
      <w:pPr>
        <w:spacing w:before="240" w:after="80"/>
      </w:pPr>
      <w:r>
        <w:rPr>
          <w:b/>
          <w:color w:val="0F3C78"/>
          <w:sz w:val="36"/>
        </w:rPr>
        <w:t>7.  Security &amp; S360 Compliance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600"/>
            <w:shd w:val="clear" w:color="auto" w:fill="107C10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18"/>
              </w:rPr>
              <w:t>S360 Control</w:t>
            </w:r>
          </w:p>
        </w:tc>
        <w:tc>
          <w:tcPr>
            <w:tcW w:type="dxa" w:w="1440"/>
            <w:shd w:val="clear" w:color="auto" w:fill="107C10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4320"/>
            <w:shd w:val="clear" w:color="auto" w:fill="107C10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18"/>
              </w:rPr>
              <w:t>Implementation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No long-lived credentials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✓ Compliant</w:t>
            </w:r>
          </w:p>
        </w:tc>
        <w:tc>
          <w:tcPr>
            <w:tcW w:type="dxa" w:w="432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Azure Workload Identity (OIDC federation)</w:t>
            </w:r>
          </w:p>
        </w:tc>
      </w:tr>
      <w:tr>
        <w:tc>
          <w:tcPr>
            <w:tcW w:type="dxa" w:w="3600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No public data plane endpoints</w:t>
            </w:r>
          </w:p>
        </w:tc>
        <w:tc>
          <w:tcPr>
            <w:tcW w:type="dxa" w:w="1440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✓ Compliant</w:t>
            </w:r>
          </w:p>
        </w:tc>
        <w:tc>
          <w:tcPr>
            <w:tcW w:type="dxa" w:w="4320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Private endpoints on ADLS, KV, ACR; AKS API server public but AAD-gated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Secrets in managed vault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✓ Compliant</w:t>
            </w:r>
          </w:p>
        </w:tc>
        <w:tc>
          <w:tcPr>
            <w:tcW w:type="dxa" w:w="432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Azure Key Vault Premium + CSI driver</w:t>
            </w:r>
          </w:p>
        </w:tc>
      </w:tr>
      <w:tr>
        <w:tc>
          <w:tcPr>
            <w:tcW w:type="dxa" w:w="3600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Encryption at rest</w:t>
            </w:r>
          </w:p>
        </w:tc>
        <w:tc>
          <w:tcPr>
            <w:tcW w:type="dxa" w:w="1440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✓ Compliant</w:t>
            </w:r>
          </w:p>
        </w:tc>
        <w:tc>
          <w:tcPr>
            <w:tcW w:type="dxa" w:w="4320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AES-256 on all services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Encryption in transit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✓ Compliant</w:t>
            </w:r>
          </w:p>
        </w:tc>
        <w:tc>
          <w:tcPr>
            <w:tcW w:type="dxa" w:w="432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TLS 1.2+ enforced everywhere</w:t>
            </w:r>
          </w:p>
        </w:tc>
      </w:tr>
      <w:tr>
        <w:tc>
          <w:tcPr>
            <w:tcW w:type="dxa" w:w="3600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Vulnerability scanning</w:t>
            </w:r>
          </w:p>
        </w:tc>
        <w:tc>
          <w:tcPr>
            <w:tcW w:type="dxa" w:w="1440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✓ Compliant</w:t>
            </w:r>
          </w:p>
        </w:tc>
        <w:tc>
          <w:tcPr>
            <w:tcW w:type="dxa" w:w="4320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ACR Defender + OPA Gatekeeper admission control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Audit logging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✓ Compliant</w:t>
            </w:r>
          </w:p>
        </w:tc>
        <w:tc>
          <w:tcPr>
            <w:tcW w:type="dxa" w:w="432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Log Analytics, 90 days minimum retention</w:t>
            </w:r>
          </w:p>
        </w:tc>
      </w:tr>
      <w:tr>
        <w:tc>
          <w:tcPr>
            <w:tcW w:type="dxa" w:w="3600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Threat detection</w:t>
            </w:r>
          </w:p>
        </w:tc>
        <w:tc>
          <w:tcPr>
            <w:tcW w:type="dxa" w:w="1440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✓ Compliant</w:t>
            </w:r>
          </w:p>
        </w:tc>
        <w:tc>
          <w:tcPr>
            <w:tcW w:type="dxa" w:w="4320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Defender for Containers, Storage, Key Vault, CSPM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RBAC via Azure AD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✓ Compliant</w:t>
            </w:r>
          </w:p>
        </w:tc>
        <w:tc>
          <w:tcPr>
            <w:tcW w:type="dxa" w:w="432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All roles backed by AAD; disableLocalAccounts on AKS</w:t>
            </w:r>
          </w:p>
        </w:tc>
      </w:tr>
      <w:tr>
        <w:tc>
          <w:tcPr>
            <w:tcW w:type="dxa" w:w="3600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ipTag on public IPs (NS2.1.1)</w:t>
            </w:r>
          </w:p>
        </w:tc>
        <w:tc>
          <w:tcPr>
            <w:tcW w:type="dxa" w:w="1440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✓ Compliant</w:t>
            </w:r>
          </w:p>
        </w:tc>
        <w:tc>
          <w:tcPr>
            <w:tcW w:type="dxa" w:w="4320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Pre-created PIPs with FirstPartyUsage=/NonProd|Prod</w:t>
            </w:r>
          </w:p>
        </w:tc>
      </w:tr>
    </w:tbl>
    <w:p>
      <w:pPr>
        <w:spacing w:after="120"/>
      </w:pPr>
    </w:p>
    <w:p>
      <w:pPr>
        <w:spacing w:before="240" w:after="80"/>
      </w:pPr>
      <w:r>
        <w:rPr>
          <w:b/>
          <w:color w:val="0F3C78"/>
          <w:sz w:val="36"/>
        </w:rPr>
        <w:t>8.  Observability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032"/>
            <w:shd w:val="clear" w:color="auto" w:fill="0F3C78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18"/>
              </w:rPr>
              <w:t>Workspace</w:t>
            </w:r>
          </w:p>
        </w:tc>
        <w:tc>
          <w:tcPr>
            <w:tcW w:type="dxa" w:w="5040"/>
            <w:shd w:val="clear" w:color="auto" w:fill="0F3C78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18"/>
              </w:rPr>
              <w:t>What feeds into it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law-forge-compute-{alias}-{env}</w:t>
            </w:r>
          </w:p>
        </w:tc>
        <w:tc>
          <w:tcPr>
            <w:tcW w:type="dxa" w:w="504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Compute AKS: apiserver, audit, scheduler, controller logs; Defender; OMS metrics</w:t>
            </w:r>
          </w:p>
        </w:tc>
      </w:tr>
      <w:tr>
        <w:tc>
          <w:tcPr>
            <w:tcW w:type="dxa" w:w="4032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law-forge-orchestration-{alias}-{env}</w:t>
            </w:r>
          </w:p>
        </w:tc>
        <w:tc>
          <w:tcPr>
            <w:tcW w:type="dxa" w:w="5040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Orchestration AKS logs; ADLS diagnostics; Key Vault audit logs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law-forge-platform-{alias}-{env}</w:t>
            </w:r>
          </w:p>
        </w:tc>
        <w:tc>
          <w:tcPr>
            <w:tcW w:type="dxa" w:w="504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VNet flow data, NSG diagnostics</w:t>
            </w:r>
          </w:p>
        </w:tc>
      </w:tr>
    </w:tbl>
    <w:p>
      <w:pPr>
        <w:spacing w:after="120"/>
      </w:pPr>
    </w:p>
    <w:p>
      <w:pPr>
        <w:spacing w:before="240" w:after="80"/>
      </w:pPr>
      <w:r>
        <w:rPr>
          <w:b/>
          <w:color w:val="0F3C78"/>
          <w:sz w:val="36"/>
        </w:rPr>
        <w:t>9.  Delivery Lifecycle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160"/>
            <w:shd w:val="clear" w:color="auto" w:fill="0F3C78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18"/>
              </w:rPr>
              <w:t>Change type</w:t>
            </w:r>
          </w:p>
        </w:tc>
        <w:tc>
          <w:tcPr>
            <w:tcW w:type="dxa" w:w="4752"/>
            <w:shd w:val="clear" w:color="auto" w:fill="0F3C78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18"/>
              </w:rPr>
              <w:t>Deploy mechanism</w:t>
            </w:r>
          </w:p>
        </w:tc>
        <w:tc>
          <w:tcPr>
            <w:tcW w:type="dxa" w:w="2160"/>
            <w:shd w:val="clear" w:color="auto" w:fill="0F3C78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18"/>
              </w:rPr>
              <w:t>Speed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DAG-only</w:t>
            </w:r>
          </w:p>
        </w:tc>
        <w:tc>
          <w:tcPr>
            <w:tcW w:type="dxa" w:w="4752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Airflow git-sync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30 seconds</w:t>
            </w:r>
          </w:p>
        </w:tc>
      </w:tr>
      <w:tr>
        <w:tc>
          <w:tcPr>
            <w:tcW w:type="dxa" w:w="2160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Spark job</w:t>
            </w:r>
          </w:p>
        </w:tc>
        <w:tc>
          <w:tcPr>
            <w:tcW w:type="dxa" w:w="4752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CD pipeline uploads notebook to ADLS code/</w:t>
            </w:r>
          </w:p>
        </w:tc>
        <w:tc>
          <w:tcPr>
            <w:tcW w:type="dxa" w:w="2160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~5 minutes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Helm config</w:t>
            </w:r>
          </w:p>
        </w:tc>
        <w:tc>
          <w:tcPr>
            <w:tcW w:type="dxa" w:w="4752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CD pipeline helm upgrade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~10 minutes</w:t>
            </w:r>
          </w:p>
        </w:tc>
      </w:tr>
      <w:tr>
        <w:tc>
          <w:tcPr>
            <w:tcW w:type="dxa" w:w="2160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Bicep infra</w:t>
            </w:r>
          </w:p>
        </w:tc>
        <w:tc>
          <w:tcPr>
            <w:tcW w:type="dxa" w:w="4752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CD pipeline az deployment sub create</w:t>
            </w:r>
          </w:p>
        </w:tc>
        <w:tc>
          <w:tcPr>
            <w:tcW w:type="dxa" w:w="2160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~20 minutes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Image rebuild</w:t>
            </w:r>
          </w:p>
        </w:tc>
        <w:tc>
          <w:tcPr>
            <w:tcW w:type="dxa" w:w="4752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CD: build → scan → push → helm upgrade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~30 minutes</w:t>
            </w:r>
          </w:p>
        </w:tc>
      </w:tr>
    </w:tbl>
    <w:p>
      <w:pPr>
        <w:spacing w:after="120"/>
      </w:pPr>
    </w:p>
    <w:p>
      <w:pPr>
        <w:spacing w:before="240" w:after="80"/>
      </w:pPr>
      <w:r>
        <w:rPr>
          <w:b/>
          <w:color w:val="0F3C78"/>
          <w:sz w:val="36"/>
        </w:rPr>
        <w:t>10.  Architecture Document Index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432"/>
            <w:shd w:val="clear" w:color="auto" w:fill="0F3C78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4608"/>
            <w:shd w:val="clear" w:color="auto" w:fill="0F3C78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18"/>
              </w:rPr>
              <w:t>Document</w:t>
            </w:r>
          </w:p>
        </w:tc>
        <w:tc>
          <w:tcPr>
            <w:tcW w:type="dxa" w:w="4320"/>
            <w:shd w:val="clear" w:color="auto" w:fill="0F3C78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18"/>
              </w:rPr>
              <w:t>What it covers</w:t>
            </w:r>
          </w:p>
        </w:tc>
      </w:tr>
      <w:tr>
        <w:tc>
          <w:tcPr>
            <w:tcW w:type="dxa" w:w="432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1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docs/architecture/01-overview.md</w:t>
            </w:r>
          </w:p>
        </w:tc>
        <w:tc>
          <w:tcPr>
            <w:tcW w:type="dxa" w:w="432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Infrastructure reference — resource groups, clusters, networking, identities</w:t>
            </w:r>
          </w:p>
        </w:tc>
      </w:tr>
      <w:tr>
        <w:tc>
          <w:tcPr>
            <w:tcW w:type="dxa" w:w="432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2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docs/architecture/02-rg-inventory.md</w:t>
            </w:r>
          </w:p>
        </w:tc>
        <w:tc>
          <w:tcPr>
            <w:tcW w:type="dxa" w:w="4320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Every Azure resource, which RG, why it exists, what uses it</w:t>
            </w:r>
          </w:p>
        </w:tc>
      </w:tr>
      <w:tr>
        <w:tc>
          <w:tcPr>
            <w:tcW w:type="dxa" w:w="432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3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docs/architecture/03-networking.md</w:t>
            </w:r>
          </w:p>
        </w:tc>
        <w:tc>
          <w:tcPr>
            <w:tcW w:type="dxa" w:w="432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VNet layout, private endpoints, DNS, Calico policies, NSGs</w:t>
            </w:r>
          </w:p>
        </w:tc>
      </w:tr>
      <w:tr>
        <w:tc>
          <w:tcPr>
            <w:tcW w:type="dxa" w:w="432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4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docs/architecture/04-security-s360.md</w:t>
            </w:r>
          </w:p>
        </w:tc>
        <w:tc>
          <w:tcPr>
            <w:tcW w:type="dxa" w:w="4320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S360 control mapping — identity, network, secrets, encryption, scanning</w:t>
            </w:r>
          </w:p>
        </w:tc>
      </w:tr>
      <w:tr>
        <w:tc>
          <w:tcPr>
            <w:tcW w:type="dxa" w:w="432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5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docs/architecture/05-storage.md</w:t>
            </w:r>
          </w:p>
        </w:tc>
        <w:tc>
          <w:tcPr>
            <w:tcW w:type="dxa" w:w="432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Medallion zones, partitioning standard, run trackers, versioning</w:t>
            </w:r>
          </w:p>
        </w:tc>
      </w:tr>
      <w:tr>
        <w:tc>
          <w:tcPr>
            <w:tcW w:type="dxa" w:w="432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6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docs/architecture/06-compute.md</w:t>
            </w:r>
          </w:p>
        </w:tc>
        <w:tc>
          <w:tcPr>
            <w:tcW w:type="dxa" w:w="4320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Spark Operator, Spark Connect, Trino, node pools, ADLS access</w:t>
            </w:r>
          </w:p>
        </w:tc>
      </w:tr>
      <w:tr>
        <w:tc>
          <w:tcPr>
            <w:tcW w:type="dxa" w:w="432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7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docs/architecture/07-orchestration.md</w:t>
            </w:r>
          </w:p>
        </w:tc>
        <w:tc>
          <w:tcPr>
            <w:tcW w:type="dxa" w:w="432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Airflow KubernetesExecutor, DAG git-sync, Key Vault secrets backend</w:t>
            </w:r>
          </w:p>
        </w:tc>
      </w:tr>
      <w:tr>
        <w:tc>
          <w:tcPr>
            <w:tcW w:type="dxa" w:w="432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8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docs/architecture/08-observability.md</w:t>
            </w:r>
          </w:p>
        </w:tc>
        <w:tc>
          <w:tcPr>
            <w:tcW w:type="dxa" w:w="4320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Azure Monitor, Grafana, Log Analytics, SLOs, cost telemetry</w:t>
            </w:r>
          </w:p>
        </w:tc>
      </w:tr>
      <w:tr>
        <w:tc>
          <w:tcPr>
            <w:tcW w:type="dxa" w:w="432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9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docs/architecture/09-dq-framework.md</w:t>
            </w:r>
          </w:p>
        </w:tc>
        <w:tc>
          <w:tcPr>
            <w:tcW w:type="dxa" w:w="432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DQ rule types, YAML format, severity gating, results store</w:t>
            </w:r>
          </w:p>
        </w:tc>
      </w:tr>
      <w:tr>
        <w:tc>
          <w:tcPr>
            <w:tcW w:type="dxa" w:w="432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10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docs/architecture/10-lineage.md</w:t>
            </w:r>
          </w:p>
        </w:tc>
        <w:tc>
          <w:tcPr>
            <w:tcW w:type="dxa" w:w="4320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OpenLineage, Microsoft Purview, column-level lineage, impact analysis</w:t>
            </w:r>
          </w:p>
        </w:tc>
      </w:tr>
      <w:tr>
        <w:tc>
          <w:tcPr>
            <w:tcW w:type="dxa" w:w="432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11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docs/architecture/11-developer-portal.md</w:t>
            </w:r>
          </w:p>
        </w:tc>
        <w:tc>
          <w:tcPr>
            <w:tcW w:type="dxa" w:w="432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Portal API + Web, auth flow, all 6 API domains</w:t>
            </w:r>
          </w:p>
        </w:tc>
      </w:tr>
      <w:tr>
        <w:tc>
          <w:tcPr>
            <w:tcW w:type="dxa" w:w="432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12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docs/architecture/12-end-to-end-flow.md</w:t>
            </w:r>
          </w:p>
        </w:tc>
        <w:tc>
          <w:tcPr>
            <w:tcW w:type="dxa" w:w="4320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Full data flow: source systems → bronze → silver → gold</w:t>
            </w:r>
          </w:p>
        </w:tc>
      </w:tr>
      <w:tr>
        <w:tc>
          <w:tcPr>
            <w:tcW w:type="dxa" w:w="432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13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docs/architecture/13-restatement.md</w:t>
            </w:r>
          </w:p>
        </w:tc>
        <w:tc>
          <w:tcPr>
            <w:tcW w:type="dxa" w:w="4320"/>
            <w:shd w:val="clear" w:color="auto" w:fill="FFFFFF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Partition restatement, backfill, Restatement Registry, safety guards</w:t>
            </w:r>
          </w:p>
        </w:tc>
      </w:tr>
      <w:tr>
        <w:tc>
          <w:tcPr>
            <w:tcW w:type="dxa" w:w="432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14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docs/architecture/14-environment-promotion.md</w:t>
            </w:r>
          </w:p>
        </w:tc>
        <w:tc>
          <w:tcPr>
            <w:tcW w:type="dxa" w:w="4320"/>
            <w:shd w:val="clear" w:color="auto" w:fill="F8F9FA"/>
          </w:tcPr>
          <w:p>
            <w:pPr>
              <w:spacing w:before="0" w:after="0"/>
              <w:jc w:val="left"/>
            </w:pPr>
            <w:r>
              <w:rPr>
                <w:b w:val="0"/>
                <w:i w:val="0"/>
                <w:color w:val="444444"/>
                <w:sz w:val="18"/>
              </w:rPr>
              <w:t>Dev vs prod, Spark Connect vs Operator, PR→CI→dev→prod promotion</w:t>
            </w:r>
          </w:p>
        </w:tc>
      </w:tr>
    </w:tbl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