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5F"/>
          <w:sz w:val="30"/>
          <w:szCs w:val="30"/>
        </w:rPr>
        <w:t xml:space="preserve">Form 28 &amp; Filing Prep — What's Ready, What's Yours To Do</w:t>
      </w:r>
    </w:p>
    <w:p>
      <w:pPr>
        <w:spacing w:after="10"/>
      </w:pPr>
      <w:r>
        <w:rPr>
          <w:i/>
          <w:iCs/>
          <w:color w:val="555555"/>
          <w:sz w:val="18"/>
          <w:szCs w:val="18"/>
        </w:rPr>
        <w:t xml:space="preserve">QubitRoute — Quantum-Inspired Constraint-Aware Route Optimizer — PS SIH26137</w:t>
      </w:r>
    </w:p>
    <w:p>
      <w:pPr>
        <w:spacing w:after="10"/>
      </w:pPr>
      <w:r>
        <w:rPr>
          <w:i/>
          <w:iCs/>
          <w:color w:val="555555"/>
          <w:sz w:val="16"/>
          <w:szCs w:val="16"/>
        </w:rPr>
        <w:t xml:space="preserve">Prepared: September 2026.</w:t>
      </w:r>
    </w:p>
    <w:p>
      <w:pPr>
        <w:pBdr>
          <w:top w:val="single" w:color="AAAAAA" w:sz="6" w:space="4"/>
          <w:bottom w:val="single" w:color="AAAAAA" w:sz="6" w:space="4"/>
        </w:pBdr>
        <w:spacing w:after="160" w:before="100" w:line="260"/>
      </w:pPr>
      <w:r>
        <w:rPr>
          <w:b/>
          <w:bCs/>
          <w:color w:val="C0392B"/>
        </w:rPr>
        <w:t xml:space="preserve">What I did and didn't do here: </w:t>
      </w:r>
      <w:r>
        <w:t xml:space="preserve">I researched the current Form 28 / provisional-filing process and wrote the checklist below so you walk into your IPR cell prepared. </w:t>
      </w:r>
      <w:r>
        <w:rPr>
          <w:b/>
          <w:bCs/>
        </w:rPr>
        <w:t xml:space="preserve">I cannot file any of these government forms for you, sign them, or submit them to the IP India e-filing portal</w:t>
      </w:r>
      <w:r>
        <w:t xml:space="preserve"> — that legally requires your (and any co-inventors') own name, signature, ID, and either your own e-filing credentials/Digital Signature Certificate or a registered patent agent acting on your behalf. Nothing below is legal advice; I'm not a patent attorney.</w:t>
      </w:r>
    </w:p>
    <w:p>
      <w:pPr>
        <w:spacing w:after="50" w:before="180"/>
      </w:pPr>
      <w:r>
        <w:rPr>
          <w:b/>
          <w:bCs/>
          <w:color w:val="1F4E5F"/>
          <w:sz w:val="24"/>
          <w:szCs w:val="24"/>
        </w:rPr>
        <w:t xml:space="preserve">1. First decide: who is the "applicant"? (This changes whether you need Form 28 at all.)</w:t>
      </w:r>
    </w:p>
    <w:p>
      <w:pPr>
        <w:spacing w:after="90" w:line="260"/>
      </w:pPr>
      <w:r>
        <w:t xml:space="preserve">A closer look this session turned up a real correction worth taking to your IPR cell first, before assuming Form 28 is required:</w:t>
      </w:r>
    </w:p>
    <w:p>
      <w:pPr>
        <w:pStyle w:val="ListParagraph"/>
        <w:numPr>
          <w:ilvl w:val="0"/>
          <w:numId w:val="2"/>
        </w:numPr>
        <w:spacing w:after="60" w:line="260"/>
      </w:pPr>
      <w:r>
        <w:t xml:space="preserve">If you and your teammates file as </w:t>
      </w:r>
      <w:r>
        <w:rPr>
          <w:b/>
          <w:bCs/>
        </w:rPr>
        <w:t xml:space="preserve">individual inventors ("natural persons")</w:t>
      </w:r>
      <w:r>
        <w:t xml:space="preserve">, the ₹1,600 fee applies automatically — Form 28 is not required for this category at all.</w:t>
      </w:r>
    </w:p>
    <w:p>
      <w:pPr>
        <w:pStyle w:val="ListParagraph"/>
        <w:numPr>
          <w:ilvl w:val="0"/>
          <w:numId w:val="2"/>
        </w:numPr>
        <w:spacing w:after="60" w:line="260"/>
      </w:pPr>
      <w:r>
        <w:t xml:space="preserve">Form 28 is required only if the applicant is a </w:t>
      </w:r>
      <w:r>
        <w:rPr>
          <w:b/>
          <w:bCs/>
        </w:rPr>
        <w:t xml:space="preserve">startup, small entity/MSME, or your educational institution</w:t>
      </w:r>
      <w:r>
        <w:t xml:space="preserve"> claiming the concession in its own name — e.g. if your college's IPR cell/TBI files on the institution's behalf. That route needs Form 28 plus supporting proof (DPIIT startup certificate, Udyam registration, or institution recognition documents, depending on which category applies).</w:t>
      </w:r>
    </w:p>
    <w:p>
      <w:pPr>
        <w:spacing w:after="90" w:line="260"/>
      </w:pPr>
      <w:r>
        <w:t xml:space="preserve">Ask your IPR cell directly: </w:t>
      </w:r>
      <w:r>
        <w:rPr>
          <w:i/>
          <w:iCs/>
        </w:rPr>
        <w:t xml:space="preserve">"Are we filing with the students as individual applicants, or with the institution as applicant?"</w:t>
      </w:r>
      <w:r>
        <w:t xml:space="preserve"> — their answer decides whether Form 28 is even on your critical path. Many college IPR cells prefer filing under the institution's name (it centralizes fee waivers and future licensing), which is exactly the case where Form 28 is actually needed.</w:t>
      </w:r>
    </w:p>
    <w:p>
      <w:pPr>
        <w:spacing w:after="50" w:before="180"/>
      </w:pPr>
      <w:r>
        <w:rPr>
          <w:b/>
          <w:bCs/>
          <w:color w:val="1F4E5F"/>
          <w:sz w:val="24"/>
          <w:szCs w:val="24"/>
        </w:rPr>
        <w:t xml:space="preserve">2. If Form 28 is needed (institution/startup route) — what to gather</w:t>
      </w:r>
    </w:p>
    <w:p>
      <w:pPr>
        <w:pStyle w:val="ListParagraph"/>
        <w:numPr>
          <w:ilvl w:val="0"/>
          <w:numId w:val="3"/>
        </w:numPr>
        <w:spacing w:after="60" w:line="260"/>
      </w:pPr>
      <w:r>
        <w:rPr>
          <w:b/>
          <w:bCs/>
        </w:rPr>
        <w:t xml:space="preserve">Proof of category: </w:t>
      </w:r>
      <w:r>
        <w:t xml:space="preserve">your institution's recognition documents (e.g. as an educational institution) — ask your IPR cell, they'll have the standard document already on file for this exact purpose.</w:t>
      </w:r>
    </w:p>
    <w:p>
      <w:pPr>
        <w:pStyle w:val="ListParagraph"/>
        <w:numPr>
          <w:ilvl w:val="0"/>
          <w:numId w:val="3"/>
        </w:numPr>
        <w:spacing w:after="60" w:line="260"/>
      </w:pPr>
      <w:r>
        <w:rPr>
          <w:b/>
          <w:bCs/>
        </w:rPr>
        <w:t xml:space="preserve">Applicant details: </w:t>
      </w:r>
      <w:r>
        <w:t xml:space="preserve">legal name and registered address exactly as your institution uses them on official filings — don't guess this yourself, get it from the IPR cell.</w:t>
      </w:r>
    </w:p>
    <w:p>
      <w:pPr>
        <w:pStyle w:val="ListParagraph"/>
        <w:numPr>
          <w:ilvl w:val="0"/>
          <w:numId w:val="3"/>
        </w:numPr>
        <w:spacing w:after="60" w:line="260"/>
      </w:pPr>
      <w:r>
        <w:rPr>
          <w:b/>
          <w:bCs/>
        </w:rPr>
        <w:t xml:space="preserve">Timing: </w:t>
      </w:r>
      <w:r>
        <w:t xml:space="preserve">Form 28 must be filed at the same time as Form 1 + Form 2, not after — build it into the same submission, not a follow-up step.</w:t>
      </w:r>
    </w:p>
    <w:p>
      <w:pPr>
        <w:spacing w:after="50" w:before="180"/>
      </w:pPr>
      <w:r>
        <w:rPr>
          <w:b/>
          <w:bCs/>
          <w:color w:val="1F4E5F"/>
          <w:sz w:val="24"/>
          <w:szCs w:val="24"/>
        </w:rPr>
        <w:t xml:space="preserve">3. What's already prepared for either route (from this project)</w:t>
      </w:r>
    </w:p>
    <w:p>
      <w:pPr>
        <w:pStyle w:val="ListParagraph"/>
        <w:numPr>
          <w:ilvl w:val="0"/>
          <w:numId w:val="4"/>
        </w:numPr>
        <w:spacing w:after="60" w:line="260"/>
      </w:pPr>
      <w:r>
        <w:rPr>
          <w:b/>
          <w:bCs/>
        </w:rPr>
        <w:t xml:space="preserve">Form 2 content (the technical description): </w:t>
      </w:r>
      <w:r>
        <w:t xml:space="preserve">the narrowed "Tier 2" system-composition claim, the honest benchmark numbers, and the best-working-mode description are already written up in SIH_2026_Patent_Readiness_Research_Heer.docx — your IPR cell / patent agent can draft Form 2's actual legal language from that, they don't have to start from zero.</w:t>
      </w:r>
    </w:p>
    <w:p>
      <w:pPr>
        <w:pStyle w:val="ListParagraph"/>
        <w:numPr>
          <w:ilvl w:val="0"/>
          <w:numId w:val="4"/>
        </w:numPr>
        <w:spacing w:after="60" w:line="260"/>
      </w:pPr>
      <w:r>
        <w:rPr>
          <w:b/>
          <w:bCs/>
        </w:rPr>
        <w:t xml:space="preserve">Prior-art diligence: </w:t>
      </w:r>
      <w:r>
        <w:t xml:space="preserve">SIH_2026_Prior_Art_Distinguished_Memo_Heer.docx (one page, three findings, how this system differs from each) — hand this over at your first meeting, it's exactly the document patent agents ask new clients for.</w:t>
      </w:r>
    </w:p>
    <w:p>
      <w:pPr>
        <w:pStyle w:val="ListParagraph"/>
        <w:numPr>
          <w:ilvl w:val="0"/>
          <w:numId w:val="4"/>
        </w:numPr>
        <w:spacing w:after="60" w:line="260"/>
      </w:pPr>
      <w:r>
        <w:rPr>
          <w:b/>
          <w:bCs/>
        </w:rPr>
        <w:t xml:space="preserve">Inventor list (for Form 5): </w:t>
      </w:r>
      <w:r>
        <w:t xml:space="preserve">not something I can determine — this has to be every team member who made an actual inventive contribution to the claimed system, decided by your team, not by lines of code written.</w:t>
      </w:r>
    </w:p>
    <w:p>
      <w:pPr>
        <w:pStyle w:val="ListParagraph"/>
        <w:numPr>
          <w:ilvl w:val="0"/>
          <w:numId w:val="4"/>
        </w:numPr>
        <w:spacing w:after="60" w:line="260"/>
      </w:pPr>
      <w:r>
        <w:rPr>
          <w:b/>
          <w:bCs/>
        </w:rPr>
        <w:t xml:space="preserve">Dated evidence of the work: </w:t>
      </w:r>
      <w:r>
        <w:t xml:space="preserve">a git history now exists in the project repository (initialized this session) as one piece of supporting evidence of when the system was built — see the repo's commit log.</w:t>
      </w:r>
    </w:p>
    <w:p>
      <w:pPr>
        <w:spacing w:after="50" w:before="180"/>
      </w:pPr>
      <w:r>
        <w:rPr>
          <w:b/>
          <w:bCs/>
          <w:color w:val="1F4E5F"/>
          <w:sz w:val="24"/>
          <w:szCs w:val="24"/>
        </w:rPr>
        <w:t xml:space="preserve">4. The one item I genuinely cannot do for you: the professional novelty search</w:t>
      </w:r>
    </w:p>
    <w:p>
      <w:pPr>
        <w:spacing w:after="90" w:line="260"/>
      </w:pPr>
      <w:r>
        <w:t xml:space="preserve">The patent-readiness research this session did (Google Patents, MDPI, D-Wave/IBM sources — documented in SIH_2026_Patent_Readiness_Research_Heer.docx and the prior-art memo) is a diligent, good-faith web search pass. </w:t>
      </w:r>
      <w:r>
        <w:rPr>
          <w:b/>
          <w:bCs/>
        </w:rPr>
        <w:t xml:space="preserve">It is not, and cannot substitute for, a professional novelty search</w:t>
      </w:r>
      <w:r>
        <w:t xml:space="preserve"> conducted by a registered patent agent or your IPR cell against paid patent-search databases and non-English/unpublished-application coverage a web search can't reach. This session already found that the project's original claim was anticipated by a paper published five weeks before the check — that same gap can reopen before your actual filing date. Get this done before you rely on the narrowed claim, not after.</w:t>
      </w:r>
    </w:p>
    <w:p>
      <w:pPr>
        <w:spacing w:after="50" w:before="180"/>
      </w:pPr>
      <w:r>
        <w:rPr>
          <w:b/>
          <w:bCs/>
          <w:color w:val="1F4E5F"/>
          <w:sz w:val="24"/>
          <w:szCs w:val="24"/>
        </w:rPr>
        <w:t xml:space="preserve">5. Suggested order of operations</w:t>
      </w:r>
    </w:p>
    <w:p>
      <w:pPr>
        <w:pStyle w:val="ListParagraph"/>
        <w:numPr>
          <w:ilvl w:val="0"/>
          <w:numId w:val="5"/>
        </w:numPr>
        <w:spacing w:after="60" w:line="260"/>
      </w:pPr>
      <w:r>
        <w:t xml:space="preserve">Take SIH_2026_Patent_Readiness_Research_Heer.docx and the prior-art memo to your IPR cell.</w:t>
      </w:r>
    </w:p>
    <w:p>
      <w:pPr>
        <w:pStyle w:val="ListParagraph"/>
        <w:numPr>
          <w:ilvl w:val="0"/>
          <w:numId w:val="5"/>
        </w:numPr>
        <w:spacing w:after="60" w:line="260"/>
      </w:pPr>
      <w:r>
        <w:t xml:space="preserve">Settle the applicant-identity question in Section 1 above — it decides whether Form 28 is even needed.</w:t>
      </w:r>
    </w:p>
    <w:p>
      <w:pPr>
        <w:pStyle w:val="ListParagraph"/>
        <w:numPr>
          <w:ilvl w:val="0"/>
          <w:numId w:val="5"/>
        </w:numPr>
        <w:spacing w:after="60" w:line="260"/>
      </w:pPr>
      <w:r>
        <w:t xml:space="preserve">Have the IPR cell / a patent agent re-run the novelty search on the narrowed Tier 2 claim (Section 4).</w:t>
      </w:r>
    </w:p>
    <w:p>
      <w:pPr>
        <w:pStyle w:val="ListParagraph"/>
        <w:numPr>
          <w:ilvl w:val="0"/>
          <w:numId w:val="5"/>
        </w:numPr>
        <w:spacing w:after="60" w:line="260"/>
      </w:pPr>
      <w:r>
        <w:t xml:space="preserve">Agree on the Form 5 inventor list with your whole team.</w:t>
      </w:r>
    </w:p>
    <w:p>
      <w:pPr>
        <w:pStyle w:val="ListParagraph"/>
        <w:numPr>
          <w:ilvl w:val="0"/>
          <w:numId w:val="5"/>
        </w:numPr>
        <w:spacing w:after="60" w:line="260"/>
      </w:pPr>
      <w:r>
        <w:t xml:space="preserve">File Form 1 + Form 2 (+ Form 28 if applicable) through the IP India e-filing portal or your IPR cell's usual process — before any further public demo of the live app beyond what's already been shown.</w:t>
      </w:r>
    </w:p>
    <w:p>
      <w:pPr>
        <w:spacing w:after="40" w:before="160"/>
      </w:pPr>
      <w:r>
        <w:rPr>
          <w:b/>
          <w:bCs/>
          <w:color w:val="1F4E5F"/>
          <w:sz w:val="20"/>
          <w:szCs w:val="20"/>
        </w:rPr>
        <w:t xml:space="preserve">Sources</w:t>
      </w:r>
    </w:p>
    <w:p>
      <w:pPr>
        <w:spacing w:after="90" w:line="260"/>
      </w:pPr>
      <w:hyperlink w:history="1" r:id="rId0zvkdjbwk-pnfas5wvqmr">
        <w:r>
          <w:rPr>
            <w:rStyle w:val="Hyperlink"/>
          </w:rPr>
          <w:t xml:space="preserve">Form 28 — declaration for startups/small entities</w:t>
        </w:r>
      </w:hyperlink>
    </w:p>
    <w:p>
      <w:pPr>
        <w:spacing w:after="90" w:line="260"/>
      </w:pPr>
      <w:hyperlink w:history="1" r:id="rIddeaf-qehyienoumpvw6at">
        <w:r>
          <w:rPr>
            <w:rStyle w:val="Hyperlink"/>
          </w:rPr>
          <w:t xml:space="preserve">Provisional patent filing process &amp; documents (Intepat)</w:t>
        </w:r>
      </w:hyperlink>
    </w:p>
    <w:p>
      <w:pPr>
        <w:spacing w:after="90" w:line="260"/>
      </w:pPr>
      <w:hyperlink w:history="1" r:id="rIdhp3oive4bau0h7rbi6flf">
        <w:r>
          <w:rPr>
            <w:rStyle w:val="Hyperlink"/>
          </w:rPr>
          <w:t xml:space="preserve">Patent fees in India 2026, incl. natural-person vs. entity fee categories (Intepat)</w:t>
        </w:r>
      </w:hyperlink>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abstractNum w:abstractNumId="5" w15:restartNumberingAfterBreak="0">
    <w:multiLevelType w:val="hybridMultilevel"/>
    <w:lvl w:ilvl="0" w15:tentative="1">
      <w:start w:val="1"/>
      <w:numFmt w:val="bullet"/>
      <w:lvlText w:val="•"/>
      <w:lvlJc w:val="start"/>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zvkdjbwk-pnfas5wvqmr" Type="http://schemas.openxmlformats.org/officeDocument/2006/relationships/hyperlink" Target="https://patentinindia.com/form-28-declaration-for-startups-and-small-entities-in-indian-patent-filing/" TargetMode="External"/><Relationship Id="rIddeaf-qehyienoumpvw6at" Type="http://schemas.openxmlformats.org/officeDocument/2006/relationships/hyperlink" Target="https://www.intepat.com/blog/provisional-patent-application" TargetMode="External"/><Relationship Id="rIdhp3oive4bau0h7rbi6flf" Type="http://schemas.openxmlformats.org/officeDocument/2006/relationships/hyperlink" Target="https://www.intepat.com/blog/patent-fees-cost-india"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2026-09-05T08:47:02.122Z</dcterms:created>
  <dcterms:modified xsi:type="dcterms:W3CDTF">2026-09-05T08:47:02.123Z</dcterms:modified>
</cp:coreProperties>
</file>

<file path=docProps/custom.xml><?xml version="1.0" encoding="utf-8"?>
<Properties xmlns="http://schemas.openxmlformats.org/officeDocument/2006/custom-properties" xmlns:vt="http://schemas.openxmlformats.org/officeDocument/2006/docPropsVTypes"/>
</file>