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1B4B"/>
          <w:sz w:val="34"/>
          <w:szCs w:val="34"/>
        </w:rPr>
        <w:t xml:space="preserve">SIH 2026 — Patent Filing Readiness Research</w:t>
      </w:r>
    </w:p>
    <w:p>
      <w:pPr>
        <w:spacing w:after="40"/>
      </w:pPr>
      <w:r>
        <w:rPr>
          <w:rFonts w:ascii="Calibri" w:cs="Calibri" w:eastAsia="Calibri" w:hAnsi="Calibri"/>
          <w:i/>
          <w:iCs/>
          <w:color w:val="475569"/>
          <w:sz w:val="22"/>
          <w:szCs w:val="22"/>
        </w:rPr>
        <w:t xml:space="preserve">Quantum-Inspired Constraint-Aware Route Optimizer — QubitRoute — PS SIH26137</w:t>
      </w:r>
    </w:p>
    <w:p>
      <w:pPr>
        <w:spacing w:after="300"/>
      </w:pPr>
      <w:r>
        <w:rPr>
          <w:rFonts w:ascii="Calibri" w:cs="Calibri" w:eastAsia="Calibri" w:hAnsi="Calibri"/>
          <w:i/>
          <w:iCs/>
          <w:color w:val="475569"/>
          <w:sz w:val="20"/>
          <w:szCs w:val="20"/>
        </w:rPr>
        <w:t xml:space="preserve">Prepared: September 2026. Follow-up to SIH_2026_Idea_Research_Heer.docx, updated with a fresh prior-art search run against the finished, benchmarked prototype rather than the pre-build idea.</w:t>
      </w:r>
    </w:p>
    <w:p>
      <w:pPr>
        <w:pStyle w:val="Heading1"/>
        <w:spacing w:after="160" w:before="360"/>
      </w:pPr>
      <w:r>
        <w:t xml:space="preserve">0. Bottom line</w:t>
      </w:r>
    </w:p>
    <w:p>
      <w:pPr>
        <w:spacing w:after="160" w:line="288"/>
      </w:pPr>
      <w:r>
        <w:rPr>
          <w:rFonts w:ascii="Calibri" w:cs="Calibri" w:eastAsia="Calibri" w:hAnsi="Calibri"/>
          <w:b/>
          <w:bCs/>
          <w:sz w:val="22"/>
          <w:szCs w:val="22"/>
        </w:rPr>
        <w:t xml:space="preserve">The technology and the benchmark numbers are real and unchanged — that part of the pitch is solid regardless of anything below. What changed this session: the single cleanest “novel mechanism” story this project was resting on — encoding a dispatch constraint as a QUBO penalty term so it is satisfied “by construction” — now has direct, recent, peer-reviewed prior art (Section 2, finding #1). That specific mechanism can no longer lead a patent claim. A narrower, still-real claim survives (Section 3), but it needs two things this project does not have yet: the actual working system needs to demonstrate that narrower claim end-to-end (it currently doesn't — Section 4), and a patent professional needs to re-run the search on the narrowed claim before you spend money or rely on it.</w:t>
      </w:r>
    </w:p>
    <w:p>
      <w:pPr>
        <w:spacing w:after="160" w:line="288"/>
      </w:pPr>
      <w:r>
        <w:rPr>
          <w:rFonts w:ascii="Calibri" w:cs="Calibri" w:eastAsia="Calibri" w:hAnsi="Calibri"/>
          <w:sz w:val="22"/>
          <w:szCs w:val="22"/>
        </w:rPr>
        <w:t xml:space="preserve">This is not a reason to drop the patent angle — ₹1,600 is low-stakes and “Patent Pending” still carries real weight with judges — but it is a reason not to walk into your IPR cell assuming the original claim is a slam dunk.</w:t>
      </w:r>
    </w:p>
    <w:p>
      <w:pPr>
        <w:pStyle w:val="Heading1"/>
        <w:spacing w:after="160" w:before="360"/>
      </w:pPr>
      <w:r>
        <w:t xml:space="preserve">1. What this document is</w:t>
      </w:r>
    </w:p>
    <w:p>
      <w:pPr>
        <w:spacing w:after="160" w:line="288"/>
      </w:pPr>
      <w:r>
        <w:rPr>
          <w:rFonts w:ascii="Calibri" w:cs="Calibri" w:eastAsia="Calibri" w:hAnsi="Calibri"/>
          <w:sz w:val="22"/>
          <w:szCs w:val="22"/>
        </w:rPr>
        <w:t xml:space="preserve">You asked for three things: (1) an actual prior-art check on the project's patent angle, not the informal pass done before the build started; (2) what scope is realistically left to claim; (3) a concrete list of what to change in the project itself — documentation, evidence, and code — before filing. This document covers all three, in that order, followed by the filing mechanics re-verified as of today.</w:t>
      </w:r>
    </w:p>
    <w:p>
      <w:pPr>
        <w:spacing w:after="160" w:line="288"/>
      </w:pPr>
      <w:r>
        <w:rPr>
          <w:rFonts w:ascii="Calibri" w:cs="Calibri" w:eastAsia="Calibri" w:hAnsi="Calibri"/>
          <w:i/>
          <w:iCs/>
          <w:sz w:val="22"/>
          <w:szCs w:val="22"/>
        </w:rPr>
        <w:t xml:space="preserve">Disclaimer: I am not a patent attorney and this is not legal advice. The searches below are a diligent web/Google-Patents pass, not a professional, exhaustive novelty search — treat every finding as a reason to loop in your college's IPR cell or a patent agent, not as a final answer.</w:t>
      </w:r>
    </w:p>
    <w:p>
      <w:pPr>
        <w:pStyle w:val="Heading1"/>
        <w:spacing w:after="160" w:before="360"/>
      </w:pPr>
      <w:r>
        <w:t xml:space="preserve">2. Prior art found (searched this session)</w:t>
      </w:r>
    </w:p>
    <w:p>
      <w:pPr>
        <w:spacing w:after="160" w:line="288"/>
      </w:pPr>
      <w:r>
        <w:rPr>
          <w:rFonts w:ascii="Calibri" w:cs="Calibri" w:eastAsia="Calibri" w:hAnsi="Calibri"/>
          <w:sz w:val="22"/>
          <w:szCs w:val="22"/>
        </w:rPr>
        <w:t xml:space="preserve">Ranked by how directly it overlaps the claim your existing README and research report were built around.</w:t>
      </w:r>
    </w:p>
    <w:p>
      <w:pPr>
        <w:pStyle w:val="Heading2"/>
        <w:spacing w:after="120" w:before="280"/>
      </w:pPr>
      <w:r>
        <w:t xml:space="preserve">Finding #1 — the one that matters most</w:t>
      </w:r>
    </w:p>
    <w:p>
      <w:pPr>
        <w:spacing w:after="160" w:line="288"/>
      </w:pPr>
      <w:r>
        <w:rPr>
          <w:rFonts w:ascii="Calibri" w:cs="Calibri" w:eastAsia="Calibri" w:hAnsi="Calibri"/>
          <w:b/>
          <w:bCs/>
          <w:sz w:val="22"/>
          <w:szCs w:val="22"/>
        </w:rPr>
        <w:t xml:space="preserve">Curuliuc, C.Ş. &amp; Leon, F., </w:t>
      </w:r>
      <w:r>
        <w:rPr>
          <w:rFonts w:ascii="Calibri" w:cs="Calibri" w:eastAsia="Calibri" w:hAnsi="Calibri"/>
          <w:i/>
          <w:iCs/>
          <w:sz w:val="22"/>
          <w:szCs w:val="22"/>
        </w:rPr>
        <w:t xml:space="preserve">“QUBO Formulation of the Pickup and Delivery Problem with Time Windows for Quantum Annealing,” </w:t>
      </w:r>
      <w:r>
        <w:rPr>
          <w:rFonts w:ascii="Calibri" w:cs="Calibri" w:eastAsia="Calibri" w:hAnsi="Calibri"/>
          <w:sz w:val="22"/>
          <w:szCs w:val="22"/>
        </w:rPr>
        <w:t xml:space="preserve">Applied Sciences 16(4):1690, MDPI. Published </w:t>
      </w:r>
      <w:r>
        <w:rPr>
          <w:rFonts w:ascii="Calibri" w:cs="Calibri" w:eastAsia="Calibri" w:hAnsi="Calibri"/>
          <w:b/>
          <w:bCs/>
          <w:sz w:val="22"/>
          <w:szCs w:val="22"/>
        </w:rPr>
        <w:t xml:space="preserve">8 February 2026</w:t>
      </w:r>
      <w:r>
        <w:rPr>
          <w:rFonts w:ascii="Calibri" w:cs="Calibri" w:eastAsia="Calibri" w:hAnsi="Calibri"/>
          <w:sz w:val="22"/>
          <w:szCs w:val="22"/>
        </w:rPr>
        <w:t xml:space="preserve"> (received 8 Jan 2026), Technical University of Iași, Romania.  </w:t>
      </w:r>
      <w:r>
        <w:rPr>
          <w:rFonts w:ascii="Calibri" w:cs="Calibri" w:eastAsia="Calibri" w:hAnsi="Calibri"/>
          <w:b/>
          <w:bCs/>
          <w:color w:val="FFFFFF"/>
          <w:sz w:val="18"/>
          <w:szCs w:val="18"/>
          <w:shd w:fill="B91C1C" w:val="clear"/>
        </w:rPr>
        <w:t xml:space="preserve">  HIGH OVERLAP  </w:t>
      </w:r>
    </w:p>
    <w:p>
      <w:pPr>
        <w:spacing w:after="160" w:line="288"/>
      </w:pPr>
      <w:r>
        <w:rPr>
          <w:rFonts w:ascii="Calibri" w:cs="Calibri" w:eastAsia="Calibri" w:hAnsi="Calibri"/>
          <w:sz w:val="22"/>
          <w:szCs w:val="22"/>
        </w:rPr>
        <w:t xml:space="preserve">This paper encodes pickup-before-delivery </w:t>
      </w:r>
      <w:r>
        <w:rPr>
          <w:rFonts w:ascii="Calibri" w:cs="Calibri" w:eastAsia="Calibri" w:hAnsi="Calibri"/>
          <w:b/>
          <w:bCs/>
          <w:sz w:val="22"/>
          <w:szCs w:val="22"/>
        </w:rPr>
        <w:t xml:space="preserve">precedence constraints as penalty terms inside a QUBO objective</w:t>
      </w:r>
      <w:r>
        <w:rPr>
          <w:rFonts w:ascii="Calibri" w:cs="Calibri" w:eastAsia="Calibri" w:hAnsi="Calibri"/>
          <w:sz w:val="22"/>
          <w:szCs w:val="22"/>
        </w:rPr>
        <w:t xml:space="preserve">, solves it with classical simulated annealing and on real quantum hardware, and compares it against MILP and a genetic-algorithm baseline across 27 synthetic instances — the exact mechanism (“constraint as penalty term ⇒ satisfied by construction, vs. a classical method that doesn't know about the rule”) that this project's Experiment 2 and README “Patent note” currently lead with, applied to essentially the same problem family (precedence in pickup/delivery-style routing). It was published five weeks before today's date. A peer-reviewed publication is prior art whether or not anyone ever patents it — </w:t>
      </w:r>
    </w:p>
    <w:p>
      <w:pPr>
        <w:spacing w:after="160" w:line="288"/>
      </w:pPr>
      <w:r>
        <w:rPr>
          <w:rFonts w:ascii="Calibri" w:cs="Calibri" w:eastAsia="Calibri" w:hAnsi="Calibri"/>
          <w:b/>
          <w:bCs/>
          <w:sz w:val="22"/>
          <w:szCs w:val="22"/>
        </w:rPr>
        <w:t xml:space="preserve">this alone means the core mechanism, described broadly, is no longer novel enough to anchor a claim.</w:t>
      </w:r>
    </w:p>
    <w:p>
      <w:pPr>
        <w:pStyle w:val="Heading2"/>
        <w:spacing w:after="120" w:before="280"/>
      </w:pPr>
      <w:r>
        <w:t xml:space="preserve">Finding #2 — closest patented prior art in this exact domain</w:t>
      </w:r>
    </w:p>
    <w:p>
      <w:pPr>
        <w:spacing w:after="160" w:line="288"/>
      </w:pPr>
      <w:r>
        <w:rPr>
          <w:rFonts w:ascii="Calibri" w:cs="Calibri" w:eastAsia="Calibri" w:hAnsi="Calibri"/>
          <w:b/>
          <w:bCs/>
          <w:sz w:val="22"/>
          <w:szCs w:val="22"/>
        </w:rPr>
        <w:t xml:space="preserve">US11816606B2</w:t>
      </w:r>
      <w:r>
        <w:rPr>
          <w:rFonts w:ascii="Calibri" w:cs="Calibri" w:eastAsia="Calibri" w:hAnsi="Calibri"/>
          <w:sz w:val="22"/>
          <w:szCs w:val="22"/>
        </w:rPr>
        <w:t xml:space="preserve">, “Quantum-classical solution stack for vehicle routing problem,” assigned to </w:t>
      </w:r>
      <w:r>
        <w:rPr>
          <w:rFonts w:ascii="Calibri" w:cs="Calibri" w:eastAsia="Calibri" w:hAnsi="Calibri"/>
          <w:b/>
          <w:bCs/>
          <w:sz w:val="22"/>
          <w:szCs w:val="22"/>
        </w:rPr>
        <w:t xml:space="preserve">IBM</w:t>
      </w:r>
      <w:r>
        <w:rPr>
          <w:rFonts w:ascii="Calibri" w:cs="Calibri" w:eastAsia="Calibri" w:hAnsi="Calibri"/>
          <w:sz w:val="22"/>
          <w:szCs w:val="22"/>
        </w:rPr>
        <w:t xml:space="preserve"> (inventors Kumar, Alevras, Othmani), granted.  </w:t>
      </w:r>
      <w:r>
        <w:rPr>
          <w:rFonts w:ascii="Calibri" w:cs="Calibri" w:eastAsia="Calibri" w:hAnsi="Calibri"/>
          <w:b/>
          <w:bCs/>
          <w:color w:val="FFFFFF"/>
          <w:sz w:val="18"/>
          <w:szCs w:val="18"/>
          <w:shd w:fill="B45309" w:val="clear"/>
        </w:rPr>
        <w:t xml:space="preserve">  MEDIUM OVERLAP  </w:t>
      </w:r>
    </w:p>
    <w:p>
      <w:pPr>
        <w:spacing w:after="160" w:line="288"/>
      </w:pPr>
      <w:r>
        <w:rPr>
          <w:rFonts w:ascii="Calibri" w:cs="Calibri" w:eastAsia="Calibri" w:hAnsi="Calibri"/>
          <w:sz w:val="22"/>
          <w:szCs w:val="22"/>
        </w:rPr>
        <w:t xml:space="preserve">Different architecture: a classical stage generates feasible capacity-respecting routes, then “bags” them into hardware-sized subsets and solves a </w:t>
      </w:r>
      <w:r>
        <w:rPr>
          <w:rFonts w:ascii="Calibri" w:cs="Calibri" w:eastAsia="Calibri" w:hAnsi="Calibri"/>
          <w:i/>
          <w:iCs/>
          <w:sz w:val="22"/>
          <w:szCs w:val="22"/>
        </w:rPr>
        <w:t xml:space="preserve">weighted set-cover</w:t>
      </w:r>
      <w:r>
        <w:rPr>
          <w:rFonts w:ascii="Calibri" w:cs="Calibri" w:eastAsia="Calibri" w:hAnsi="Calibri"/>
          <w:sz w:val="22"/>
          <w:szCs w:val="22"/>
        </w:rPr>
        <w:t xml:space="preserve"> problem on a quantum computer to pick the cheapest combination. It covers capacity constraints but not precedence, and nothing about live re-optimization on an incident. Still the closest granted patent in “QUBO/quantum + VRP,” so any filing needs to explicitly distinguish over it (different problem decomposition, different constraint type, classical-simulated-annealing-only vs. requiring quantum hardware access).</w:t>
      </w:r>
    </w:p>
    <w:p>
      <w:pPr>
        <w:pStyle w:val="Heading2"/>
        <w:spacing w:after="120" w:before="280"/>
      </w:pPr>
      <w:r>
        <w:t xml:space="preserve">Finding #3 — the general technique is commercially mainstream</w:t>
      </w:r>
    </w:p>
    <w:p>
      <w:pPr>
        <w:spacing w:after="160" w:line="288"/>
      </w:pPr>
      <w:r>
        <w:rPr>
          <w:rFonts w:ascii="Calibri" w:cs="Calibri" w:eastAsia="Calibri" w:hAnsi="Calibri"/>
          <w:b/>
          <w:bCs/>
          <w:sz w:val="22"/>
          <w:szCs w:val="22"/>
        </w:rPr>
        <w:t xml:space="preserve">D-Wave's Constrained Quadratic Model (CQM) hybrid solver</w:t>
      </w:r>
      <w:r>
        <w:rPr>
          <w:rFonts w:ascii="Calibri" w:cs="Calibri" w:eastAsia="Calibri" w:hAnsi="Calibri"/>
          <w:sz w:val="22"/>
          <w:szCs w:val="22"/>
        </w:rPr>
        <w:t xml:space="preserve"> — a shipping D-Wave product that accepts arbitrary linear/quadratic constraints directly and handles the penalty-term conversion internally, no hand-derivation required.  </w:t>
      </w:r>
      <w:r>
        <w:rPr>
          <w:rFonts w:ascii="Calibri" w:cs="Calibri" w:eastAsia="Calibri" w:hAnsi="Calibri"/>
          <w:b/>
          <w:bCs/>
          <w:color w:val="FFFFFF"/>
          <w:sz w:val="18"/>
          <w:szCs w:val="18"/>
          <w:shd w:fill="B45309" w:val="clear"/>
        </w:rPr>
        <w:t xml:space="preserve">  MEDIUM OVERLAP  </w:t>
      </w:r>
    </w:p>
    <w:p>
      <w:pPr>
        <w:spacing w:after="160" w:line="288"/>
      </w:pPr>
      <w:r>
        <w:rPr>
          <w:rFonts w:ascii="Calibri" w:cs="Calibri" w:eastAsia="Calibri" w:hAnsi="Calibri"/>
          <w:sz w:val="22"/>
          <w:szCs w:val="22"/>
        </w:rPr>
        <w:t xml:space="preserve">This doesn't kill the project's approach (it runs fully offline/classically with hand-derived penalty terms in a custom BQM, vs. CQM which needs a D-Wave cloud account) — but it is more evidence that “constraints composed into a single QUBO-family objective” is now a mainstream, productized idea, not a novel one, at the concept level.</w:t>
      </w:r>
    </w:p>
    <w:p>
      <w:pPr>
        <w:pStyle w:val="Heading2"/>
        <w:spacing w:after="120" w:before="280"/>
      </w:pPr>
      <w:r>
        <w:t xml:space="preserve">Finding #4 — the base technique is textbook, not new, regardless of application</w:t>
      </w:r>
    </w:p>
    <w:p>
      <w:pPr>
        <w:spacing w:after="160" w:line="288"/>
      </w:pPr>
      <w:r>
        <w:rPr>
          <w:rFonts w:ascii="Calibri" w:cs="Calibri" w:eastAsia="Calibri" w:hAnsi="Calibri"/>
          <w:sz w:val="22"/>
          <w:szCs w:val="22"/>
        </w:rPr>
        <w:t xml:space="preserve">The general modeling trick — “represent a constraint as a penalty term added to a QUBO objective” — traces to standard operations-research QUBO-modeling literature (e.g. the widely-cited 2018 “Tutorial on Formulating QUBO Models”). It has never been the novel part on its own; the novelty, if any, has to live in the specific application and system, not the technique.</w:t>
      </w:r>
    </w:p>
    <w:p>
      <w:pPr>
        <w:pStyle w:val="Heading2"/>
        <w:spacing w:after="120" w:before="280"/>
      </w:pPr>
      <w:r>
        <w:t xml:space="preserve">Finding #5 — no competing Indian filing found, with a real caveat</w:t>
      </w:r>
    </w:p>
    <w:p>
      <w:pPr>
        <w:spacing w:after="160" w:line="288"/>
      </w:pPr>
      <w:r>
        <w:rPr>
          <w:rFonts w:ascii="Calibri" w:cs="Calibri" w:eastAsia="Calibri" w:hAnsi="Calibri"/>
          <w:sz w:val="22"/>
          <w:szCs w:val="22"/>
        </w:rPr>
        <w:t xml:space="preserve">No published Indian patent application was found targeting this specific niche (quantum-inspired/QUBO dispatch routing with composable constraints). That's a genuinely encouraging data point for filing in India specifically — but Indian applications stay unpublished for 18 months after filing, so an existing, unpublished competing filing cannot be ruled out by any public search today.</w:t>
      </w:r>
    </w:p>
    <w:p>
      <w:pPr>
        <w:spacing w:after="80"/>
      </w:pPr>
    </w:p>
    <w:p>
      <w:pPr>
        <w:pStyle w:val="Heading2"/>
        <w:spacing w:after="120" w:before="280"/>
      </w:pPr>
      <w:r>
        <w:t xml:space="preserve">Sources</w:t>
      </w:r>
    </w:p>
    <w:p>
      <w:pPr>
        <w:spacing w:after="160" w:line="288"/>
      </w:pPr>
      <w:hyperlink w:history="1" r:id="rIdg_lputxzpxyoxnmu3zkba">
        <w:r>
          <w:rPr>
            <w:rStyle w:val="Hyperlink"/>
            <w:rFonts w:ascii="Calibri" w:cs="Calibri" w:eastAsia="Calibri" w:hAnsi="Calibri"/>
            <w:color w:val="2563EB"/>
            <w:sz w:val="22"/>
            <w:szCs w:val="22"/>
            <w:u w:val="single"/>
          </w:rPr>
          <w:t xml:space="preserve">Curuliuc &amp; Leon, Applied Sciences 16(4):1690 (MDPI)</w:t>
        </w:r>
      </w:hyperlink>
    </w:p>
    <w:p>
      <w:pPr>
        <w:spacing w:after="160" w:line="288"/>
      </w:pPr>
      <w:hyperlink w:history="1" r:id="rId4cv1edph05aou4gorjkda">
        <w:r>
          <w:rPr>
            <w:rStyle w:val="Hyperlink"/>
            <w:rFonts w:ascii="Calibri" w:cs="Calibri" w:eastAsia="Calibri" w:hAnsi="Calibri"/>
            <w:color w:val="2563EB"/>
            <w:sz w:val="22"/>
            <w:szCs w:val="22"/>
            <w:u w:val="single"/>
          </w:rPr>
          <w:t xml:space="preserve">US11816606B2 — Google Patents</w:t>
        </w:r>
      </w:hyperlink>
    </w:p>
    <w:p>
      <w:pPr>
        <w:spacing w:after="160" w:line="288"/>
      </w:pPr>
      <w:hyperlink w:history="1" r:id="rIdaa1zrxdrwchmevy9v4h7s">
        <w:r>
          <w:rPr>
            <w:rStyle w:val="Hyperlink"/>
            <w:rFonts w:ascii="Calibri" w:cs="Calibri" w:eastAsia="Calibri" w:hAnsi="Calibri"/>
            <w:color w:val="2563EB"/>
            <w:sz w:val="22"/>
            <w:szCs w:val="22"/>
            <w:u w:val="single"/>
          </w:rPr>
          <w:t xml:space="preserve">D-Wave: Constrained Quadratic Model hybrid solver</w:t>
        </w:r>
      </w:hyperlink>
    </w:p>
    <w:p>
      <w:pPr>
        <w:spacing w:after="160" w:line="288"/>
      </w:pPr>
      <w:hyperlink w:history="1" r:id="rIdus9ukx36asiqsnu9hsx_l">
        <w:r>
          <w:rPr>
            <w:rStyle w:val="Hyperlink"/>
            <w:rFonts w:ascii="Calibri" w:cs="Calibri" w:eastAsia="Calibri" w:hAnsi="Calibri"/>
            <w:color w:val="2563EB"/>
            <w:sz w:val="22"/>
            <w:szCs w:val="22"/>
            <w:u w:val="single"/>
          </w:rPr>
          <w:t xml:space="preserve">Auto-Constraint Generation for Delivery Routes — US20240104491 (Justia)</w:t>
        </w:r>
      </w:hyperlink>
    </w:p>
    <w:p>
      <w:pPr>
        <w:spacing w:after="160" w:line="288"/>
      </w:pPr>
      <w:hyperlink w:history="1" r:id="rIdrxlusyr8crwiu5o6cbaaz">
        <w:r>
          <w:rPr>
            <w:rStyle w:val="Hyperlink"/>
            <w:rFonts w:ascii="Calibri" w:cs="Calibri" w:eastAsia="Calibri" w:hAnsi="Calibri"/>
            <w:color w:val="2563EB"/>
            <w:sz w:val="22"/>
            <w:szCs w:val="22"/>
            <w:u w:val="single"/>
          </w:rPr>
          <w:t xml:space="preserve">Indian Patent Office 2025 CRI Guidelines — summary (Intepat)</w:t>
        </w:r>
      </w:hyperlink>
    </w:p>
    <w:p>
      <w:pPr>
        <w:spacing w:after="160" w:line="288"/>
      </w:pPr>
      <w:hyperlink w:history="1" r:id="rIdahggr2rtfxn7cfvvgmrq-">
        <w:r>
          <w:rPr>
            <w:rStyle w:val="Hyperlink"/>
            <w:rFonts w:ascii="Calibri" w:cs="Calibri" w:eastAsia="Calibri" w:hAnsi="Calibri"/>
            <w:color w:val="2563EB"/>
            <w:sz w:val="22"/>
            <w:szCs w:val="22"/>
            <w:u w:val="single"/>
          </w:rPr>
          <w:t xml:space="preserve">Patent fees in India 2026 (Intepat)</w:t>
        </w:r>
      </w:hyperlink>
    </w:p>
    <w:p>
      <w:pPr>
        <w:pStyle w:val="Heading1"/>
        <w:spacing w:after="160" w:before="360"/>
      </w:pPr>
      <w:r>
        <w:t xml:space="preserve">3. What scope is realistically left to claim</w:t>
      </w:r>
    </w:p>
    <w:p>
      <w:pPr>
        <w:spacing w:after="160" w:line="288"/>
      </w:pPr>
      <w:r>
        <w:rPr>
          <w:rFonts w:ascii="Calibri" w:cs="Calibri" w:eastAsia="Calibri" w:hAnsi="Calibri"/>
          <w:sz w:val="22"/>
          <w:szCs w:val="22"/>
        </w:rPr>
        <w:t xml:space="preserve">Four tiers, broadest (now blocked) to narrowest (real engineering merit, weak patent case):</w:t>
      </w:r>
    </w:p>
    <w:p>
      <w:pPr>
        <w:pStyle w:val="Heading2"/>
        <w:spacing w:after="120" w:before="280"/>
      </w:pPr>
      <w:r>
        <w:t xml:space="preserve">Tier 1 — BLOCKED</w:t>
      </w:r>
    </w:p>
    <w:p>
      <w:pPr>
        <w:spacing w:after="160" w:line="288"/>
      </w:pPr>
      <w:r>
        <w:rPr>
          <w:rFonts w:ascii="Calibri" w:cs="Calibri" w:eastAsia="Calibri" w:hAnsi="Calibri"/>
          <w:b/>
          <w:bCs/>
          <w:sz w:val="22"/>
          <w:szCs w:val="22"/>
        </w:rPr>
        <w:t xml:space="preserve">“Encode a routing/dispatch constraint as a QUBO penalty term so it's satisfied by construction, vs. a classical heuristic that needs post-hoc repair.” </w:t>
      </w:r>
      <w:r>
        <w:rPr>
          <w:rFonts w:ascii="Calibri" w:cs="Calibri" w:eastAsia="Calibri" w:hAnsi="Calibri"/>
          <w:sz w:val="22"/>
          <w:szCs w:val="22"/>
        </w:rPr>
        <w:t xml:space="preserve">This is your current README/Experiment-2 framing, and it is now anticipated by Finding #1 (precedence-as-penalty-term, published Feb 2026) and made non-novel-on-its-own by Findings #3–#4. Do not lead a patent claim with this framing anymore — not because the benchmark is wrong, but because the mechanism it demonstrates is no longer new.</w:t>
      </w:r>
    </w:p>
    <w:p>
      <w:pPr>
        <w:pStyle w:val="Heading2"/>
        <w:spacing w:after="120" w:before="280"/>
      </w:pPr>
      <w:r>
        <w:t xml:space="preserve">Tier 2 — the realistic target, needs narrowing + proof</w:t>
      </w:r>
    </w:p>
    <w:p>
      <w:pPr>
        <w:spacing w:after="160" w:line="288"/>
      </w:pPr>
      <w:r>
        <w:rPr>
          <w:rFonts w:ascii="Calibri" w:cs="Calibri" w:eastAsia="Calibri" w:hAnsi="Calibri"/>
          <w:b/>
          <w:bCs/>
          <w:sz w:val="22"/>
          <w:szCs w:val="22"/>
        </w:rPr>
        <w:t xml:space="preserve">The specific system-level composition:</w:t>
      </w:r>
      <w:r>
        <w:rPr>
          <w:rFonts w:ascii="Calibri" w:cs="Calibri" w:eastAsia="Calibri" w:hAnsi="Calibri"/>
          <w:sz w:val="22"/>
          <w:szCs w:val="22"/>
        </w:rPr>
        <w:t xml:space="preserve"> precedence constraints, per-stop demand-weighted vehicle capacity, live incident-triggered re-optimization, and automatic fleet-size scaling, integrated together in one real-time, browser-based dispatch system with a live time-of-day congestion model. </w:t>
      </w:r>
      <w:r>
        <w:rPr>
          <w:rFonts w:ascii="Calibri" w:cs="Calibri" w:eastAsia="Calibri" w:hAnsi="Calibri"/>
          <w:b/>
          <w:bCs/>
          <w:color w:val="FFFFFF"/>
          <w:sz w:val="18"/>
          <w:szCs w:val="18"/>
          <w:shd w:fill="B45309" w:val="clear"/>
        </w:rPr>
        <w:t xml:space="preserve">  NOT YET TRUE END-TO-END  </w:t>
      </w:r>
      <w:r>
        <w:rPr>
          <w:rFonts w:ascii="Calibri" w:cs="Calibri" w:eastAsia="Calibri" w:hAnsi="Calibri"/>
          <w:sz w:val="22"/>
          <w:szCs w:val="22"/>
        </w:rPr>
        <w:t xml:space="preserve"> — see Section 4: your own codebase does not currently run all of these together, so this claim can't honestly be written as a working example yet.</w:t>
      </w:r>
    </w:p>
    <w:p>
      <w:pPr>
        <w:spacing w:after="160" w:line="288"/>
      </w:pPr>
      <w:r>
        <w:rPr>
          <w:rFonts w:ascii="Calibri" w:cs="Calibri" w:eastAsia="Calibri" w:hAnsi="Calibri"/>
          <w:sz w:val="22"/>
          <w:szCs w:val="22"/>
        </w:rPr>
        <w:t xml:space="preserve">Neither Finding #1 (a static offline benchmark study, no live app, no incident handling, no fleet-size auto-scaling) nor Finding #2 (a different two-stage architecture with no precedence and no live re-optimization) covers this specific combination. This is the most defensible remaining angle — but “most defensible of what's left” is a different claim than “clearly novel,” and it needs a professional search of its own before you rely on it.</w:t>
      </w:r>
    </w:p>
    <w:p>
      <w:pPr>
        <w:pStyle w:val="Heading2"/>
        <w:spacing w:after="120" w:before="280"/>
      </w:pPr>
      <w:r>
        <w:t xml:space="preserve">Tier 3 — narrower fallback, unverified</w:t>
      </w:r>
    </w:p>
    <w:p>
      <w:pPr>
        <w:spacing w:after="160" w:line="288"/>
      </w:pPr>
      <w:r>
        <w:rPr>
          <w:rFonts w:ascii="Calibri" w:cs="Calibri" w:eastAsia="Calibri" w:hAnsi="Calibri"/>
          <w:sz w:val="22"/>
          <w:szCs w:val="22"/>
        </w:rPr>
        <w:t xml:space="preserve">The automatic fleet-size-raising retry algorithm for demand-weighted bin-packing infeasibility (cluster → rebalance → detect any vehicle still over capacity → increment vehicle count → repeat until every stop's own weight fits, with per-stop weight pre-validated so a terminal feasible state is guaranteed). Narrow, real, and not covered by anything found above — but classical VRP fleet-sizing / bin-packing literature is old and deep, and this pass did not specifically search that literature. Treat as unverified, not as a fallback you can rely on without its own check.</w:t>
      </w:r>
    </w:p>
    <w:p>
      <w:pPr>
        <w:pStyle w:val="Heading2"/>
        <w:spacing w:after="120" w:before="280"/>
      </w:pPr>
      <w:r>
        <w:t xml:space="preserve">Tier 4 — real engineering merit, weak patent case</w:t>
      </w:r>
    </w:p>
    <w:p>
      <w:pPr>
        <w:spacing w:after="160" w:line="288"/>
      </w:pPr>
      <w:r>
        <w:rPr>
          <w:rFonts w:ascii="Calibri" w:cs="Calibri" w:eastAsia="Calibri" w:hAnsi="Calibri"/>
          <w:sz w:val="22"/>
          <w:szCs w:val="22"/>
        </w:rPr>
        <w:t xml:space="preserve">The browser-side-OSRM / server-side-QUBO-only split (moving real road-network queries into the visitor's browser specifically to dodge cloud-datacenter IP rate-limiting on Overpass) and the pluggable TrafficProvider interface. Both are genuinely good engineering decisions worth keeping in the pitch — but they're deployment/architecture choices, not new algorithms or a new technical effect on an underlying system, which is what the 2025 CRI guidelines' “technical effect” test is actually asking for. Don't spend patent-drafting effort here.</w:t>
      </w:r>
    </w:p>
    <w:p>
      <w:pPr>
        <w:pStyle w:val="Heading1"/>
        <w:spacing w:after="160" w:before="360"/>
      </w:pPr>
      <w:r>
        <w:t xml:space="preserve">4. Concrete changes required before filing</w:t>
      </w:r>
    </w:p>
    <w:p>
      <w:pPr>
        <w:spacing w:after="160" w:line="288"/>
      </w:pPr>
      <w:r>
        <w:rPr>
          <w:rFonts w:ascii="Calibri" w:cs="Calibri" w:eastAsia="Calibri" w:hAnsi="Calibri"/>
          <w:sz w:val="22"/>
          <w:szCs w:val="22"/>
        </w:rPr>
        <w:t xml:space="preserve">Grouped by what kind of work each one is. Items 8–10 were checked directly against your current app.py and test suite this session, not inferred from the README.</w:t>
      </w:r>
    </w:p>
    <w:p>
      <w:pPr>
        <w:pStyle w:val="Heading2"/>
        <w:spacing w:after="120" w:before="280"/>
      </w:pPr>
      <w:r>
        <w:t xml:space="preserve">A. Reframe the claim (documentation, no code)</w:t>
      </w:r>
    </w:p>
    <w:p>
      <w:pPr>
        <w:pStyle w:val="ListParagraph"/>
        <w:numPr>
          <w:ilvl w:val="0"/>
          <w:numId w:val="2"/>
        </w:numPr>
        <w:spacing w:after="140" w:line="276"/>
      </w:pPr>
      <w:r>
        <w:rPr>
          <w:rFonts w:ascii="Calibri" w:cs="Calibri" w:eastAsia="Calibri" w:hAnsi="Calibri"/>
          <w:b/>
          <w:bCs/>
          <w:sz w:val="22"/>
          <w:szCs w:val="22"/>
        </w:rPr>
        <w:t xml:space="preserve">Rewrite the patent-facing framing</w:t>
      </w:r>
      <w:r>
        <w:rPr>
          <w:rFonts w:ascii="Calibri" w:cs="Calibri" w:eastAsia="Calibri" w:hAnsi="Calibri"/>
          <w:sz w:val="22"/>
          <w:szCs w:val="22"/>
        </w:rPr>
        <w:t xml:space="preserve"> in the research report and any Form 2 draft. Stop leading with “constraint-as-penalty-term = correct by construction” as the novel contribution — it's anticipated (Finding #1). Lead with the Tier 2 system composition instead, once item 8 below makes it true.</w:t>
      </w:r>
    </w:p>
    <w:p>
      <w:pPr>
        <w:pStyle w:val="ListParagraph"/>
        <w:numPr>
          <w:ilvl w:val="0"/>
          <w:numId w:val="2"/>
        </w:numPr>
        <w:spacing w:after="140" w:line="276"/>
      </w:pPr>
      <w:r>
        <w:rPr>
          <w:rFonts w:ascii="Calibri" w:cs="Calibri" w:eastAsia="Calibri" w:hAnsi="Calibri"/>
          <w:b/>
          <w:bCs/>
          <w:sz w:val="22"/>
          <w:szCs w:val="22"/>
        </w:rPr>
        <w:t xml:space="preserve">Write a one-page “prior art distinguished” memo</w:t>
      </w:r>
      <w:r>
        <w:rPr>
          <w:rFonts w:ascii="Calibri" w:cs="Calibri" w:eastAsia="Calibri" w:hAnsi="Calibri"/>
          <w:sz w:val="22"/>
          <w:szCs w:val="22"/>
        </w:rPr>
        <w:t xml:space="preserve"> naming Findings #1–#3 by name, with 2–3 sentences each on exactly how this project's system differs. Patent agents ask for this first — having it ready saves a consultation cycle and shows the IPR cell you've done real diligence.</w:t>
      </w:r>
    </w:p>
    <w:p>
      <w:pPr>
        <w:pStyle w:val="ListParagraph"/>
        <w:numPr>
          <w:ilvl w:val="0"/>
          <w:numId w:val="2"/>
        </w:numPr>
        <w:spacing w:after="140" w:line="276"/>
      </w:pPr>
      <w:r>
        <w:rPr>
          <w:rFonts w:ascii="Calibri" w:cs="Calibri" w:eastAsia="Calibri" w:hAnsi="Calibri"/>
          <w:b/>
          <w:bCs/>
          <w:sz w:val="22"/>
          <w:szCs w:val="22"/>
        </w:rPr>
        <w:t xml:space="preserve">Update the README's “Patent note” section</w:t>
      </w:r>
      <w:r>
        <w:rPr>
          <w:rFonts w:ascii="Calibri" w:cs="Calibri" w:eastAsia="Calibri" w:hAnsi="Calibri"/>
          <w:sz w:val="22"/>
          <w:szCs w:val="22"/>
        </w:rPr>
        <w:t xml:space="preserve"> so it no longer implies the penalty-term mechanism itself is the patentable finding — keep the benchmark numbers (they're still true and still useful), just don't call the mechanism novel anymore.</w:t>
      </w:r>
    </w:p>
    <w:p>
      <w:pPr>
        <w:pStyle w:val="Heading2"/>
        <w:spacing w:after="120" w:before="280"/>
      </w:pPr>
      <w:r>
        <w:t xml:space="preserve">B. Filing paperwork</w:t>
      </w:r>
    </w:p>
    <w:p>
      <w:pPr>
        <w:pStyle w:val="ListParagraph"/>
        <w:numPr>
          <w:ilvl w:val="0"/>
          <w:numId w:val="2"/>
        </w:numPr>
        <w:spacing w:after="140" w:line="276"/>
      </w:pPr>
      <w:r>
        <w:rPr>
          <w:rFonts w:ascii="Calibri" w:cs="Calibri" w:eastAsia="Calibri" w:hAnsi="Calibri"/>
          <w:b/>
          <w:bCs/>
          <w:sz w:val="22"/>
          <w:szCs w:val="22"/>
        </w:rPr>
        <w:t xml:space="preserve">Prepare Form 28</w:t>
      </w:r>
      <w:r>
        <w:rPr>
          <w:rFonts w:ascii="Calibri" w:cs="Calibri" w:eastAsia="Calibri" w:hAnsi="Calibri"/>
          <w:sz w:val="22"/>
          <w:szCs w:val="22"/>
        </w:rPr>
        <w:t xml:space="preserve"> (student/individual/educational-institution fee-category declaration) alongside Form 1 + Form 2. Without it, the application defaults to the ₹8,000 large-entity fee instead of ₹1,600 — confirmed current as of today (Section 5).</w:t>
      </w:r>
    </w:p>
    <w:p>
      <w:pPr>
        <w:pStyle w:val="ListParagraph"/>
        <w:numPr>
          <w:ilvl w:val="0"/>
          <w:numId w:val="2"/>
        </w:numPr>
        <w:spacing w:after="140" w:line="276"/>
      </w:pPr>
      <w:r>
        <w:rPr>
          <w:rFonts w:ascii="Calibri" w:cs="Calibri" w:eastAsia="Calibri" w:hAnsi="Calibri"/>
          <w:b/>
          <w:bCs/>
          <w:sz w:val="22"/>
          <w:szCs w:val="22"/>
        </w:rPr>
        <w:t xml:space="preserve">Get a patent professional (your IPR cell or a patent agent) to re-run the novelty search</w:t>
      </w:r>
      <w:r>
        <w:rPr>
          <w:rFonts w:ascii="Calibri" w:cs="Calibri" w:eastAsia="Calibri" w:hAnsi="Calibri"/>
          <w:sz w:val="22"/>
          <w:szCs w:val="22"/>
        </w:rPr>
        <w:t xml:space="preserve"> specifically on the narrowed Tier 2 claim before filing or relying on it. The gap this project was relying on closed once already, five weeks before this check — it can close again before your filing date.</w:t>
      </w:r>
    </w:p>
    <w:p>
      <w:pPr>
        <w:pStyle w:val="Heading2"/>
        <w:spacing w:after="120" w:before="280"/>
      </w:pPr>
      <w:r>
        <w:t xml:space="preserve">C. Evidence and disclosure timing</w:t>
      </w:r>
    </w:p>
    <w:p>
      <w:pPr>
        <w:pStyle w:val="ListParagraph"/>
        <w:numPr>
          <w:ilvl w:val="0"/>
          <w:numId w:val="2"/>
        </w:numPr>
        <w:spacing w:after="140" w:line="276"/>
      </w:pPr>
      <w:r>
        <w:rPr>
          <w:rFonts w:ascii="Calibri" w:cs="Calibri" w:eastAsia="Calibri" w:hAnsi="Calibri"/>
          <w:b/>
          <w:bCs/>
          <w:sz w:val="22"/>
          <w:szCs w:val="22"/>
        </w:rPr>
        <w:t xml:space="preserve">Initialize version control, today.</w:t>
      </w:r>
      <w:r>
        <w:rPr>
          <w:rFonts w:ascii="Calibri" w:cs="Calibri" w:eastAsia="Calibri" w:hAnsi="Calibri"/>
          <w:sz w:val="22"/>
          <w:szCs w:val="22"/>
        </w:rPr>
        <w:t xml:space="preserve"> This workspace currently has no git repository at all (checked directly — “fatal: not a git repository”) — meaning there is zero dated, verifiable record of when any of this was built. Run </w:t>
      </w:r>
      <w:r>
        <w:rPr>
          <w:rFonts w:ascii="Consolas" w:cs="Consolas" w:eastAsia="Consolas" w:hAnsi="Consolas"/>
          <w:sz w:val="20"/>
          <w:szCs w:val="20"/>
        </w:rPr>
        <w:t xml:space="preserve">git init</w:t>
      </w:r>
      <w:r>
        <w:rPr>
          <w:rFonts w:ascii="Calibri" w:cs="Calibri" w:eastAsia="Calibri" w:hAnsi="Calibri"/>
          <w:sz w:val="22"/>
          <w:szCs w:val="22"/>
        </w:rPr>
        <w:t xml:space="preserve">, commit what exists now, and keep committing going forward. A dated history costs nothing and is standard supporting evidence for an invention disclosure.</w:t>
      </w:r>
    </w:p>
    <w:p>
      <w:pPr>
        <w:pStyle w:val="ListParagraph"/>
        <w:numPr>
          <w:ilvl w:val="0"/>
          <w:numId w:val="2"/>
        </w:numPr>
        <w:spacing w:after="140" w:line="276"/>
      </w:pPr>
      <w:r>
        <w:rPr>
          <w:rFonts w:ascii="Calibri" w:cs="Calibri" w:eastAsia="Calibri" w:hAnsi="Calibri"/>
          <w:b/>
          <w:bCs/>
          <w:sz w:val="22"/>
          <w:szCs w:val="22"/>
        </w:rPr>
        <w:t xml:space="preserve">Keep the repository private</w:t>
      </w:r>
      <w:r>
        <w:rPr>
          <w:rFonts w:ascii="Calibri" w:cs="Calibri" w:eastAsia="Calibri" w:hAnsi="Calibri"/>
          <w:sz w:val="22"/>
          <w:szCs w:val="22"/>
        </w:rPr>
        <w:t xml:space="preserve"> and avoid any wider public sharing of the live demo URL until either the provisional is filed, or your IPR cell has explicitly confirmed your specific disclosure timeline is covered. India's Section 31 exhibition grace period is real but narrow, and its exact applicability to a hackathon demo isn't clearly established — the standard practitioner advice is still file first, present later.</w:t>
      </w:r>
    </w:p>
    <w:p>
      <w:pPr>
        <w:pStyle w:val="Heading2"/>
        <w:spacing w:after="120" w:before="280"/>
      </w:pPr>
      <w:r>
        <w:t xml:space="preserve">D. Code changes — only needed if you want the full Tier 2 claim</w:t>
      </w:r>
    </w:p>
    <w:p>
      <w:pPr>
        <w:pStyle w:val="ListParagraph"/>
        <w:numPr>
          <w:ilvl w:val="0"/>
          <w:numId w:val="2"/>
        </w:numPr>
        <w:spacing w:after="140" w:line="276"/>
      </w:pPr>
      <w:r>
        <w:rPr>
          <w:rFonts w:ascii="Calibri" w:cs="Calibri" w:eastAsia="Calibri" w:hAnsi="Calibri"/>
          <w:b/>
          <w:bCs/>
          <w:sz w:val="22"/>
          <w:szCs w:val="22"/>
        </w:rPr>
        <w:t xml:space="preserve">Precedence constraints don't work in multi-vehicle mode today.</w:t>
      </w:r>
      <w:r>
        <w:rPr>
          <w:rFonts w:ascii="Calibri" w:cs="Calibri" w:eastAsia="Calibri" w:hAnsi="Calibri"/>
          <w:sz w:val="22"/>
          <w:szCs w:val="22"/>
        </w:rPr>
        <w:t xml:space="preserve"> Verified directly in app.py: </w:t>
      </w:r>
      <w:r>
        <w:rPr>
          <w:rFonts w:ascii="Consolas" w:cs="Consolas" w:eastAsia="Consolas" w:hAnsi="Consolas"/>
          <w:sz w:val="20"/>
          <w:szCs w:val="20"/>
        </w:rPr>
        <w:t xml:space="preserve">solve_fleet()</w:t>
      </w:r>
      <w:r>
        <w:rPr>
          <w:rFonts w:ascii="Calibri" w:cs="Calibri" w:eastAsia="Calibri" w:hAnsi="Calibri"/>
          <w:sz w:val="22"/>
          <w:szCs w:val="22"/>
        </w:rPr>
        <w:t xml:space="preserve"> has zero handling of the </w:t>
      </w:r>
      <w:r>
        <w:rPr>
          <w:rFonts w:ascii="Consolas" w:cs="Consolas" w:eastAsia="Consolas" w:hAnsi="Consolas"/>
          <w:sz w:val="20"/>
          <w:szCs w:val="20"/>
        </w:rPr>
        <w:t xml:space="preserve">precedence</w:t>
      </w:r>
      <w:r>
        <w:rPr>
          <w:rFonts w:ascii="Calibri" w:cs="Calibri" w:eastAsia="Calibri" w:hAnsi="Calibri"/>
          <w:sz w:val="22"/>
          <w:szCs w:val="22"/>
        </w:rPr>
        <w:t xml:space="preserve"> field, and the UI actively hides the Precedence button in fleet mode. If the patent claim is going to say “precedence, demand-weighted capacity, and multi-vehicle dispatch compose together,” that has to become true in the code first — right now it plainly isn't, and a patent's best-mode description can't describe a combination the working system doesn't actually run.</w:t>
      </w:r>
    </w:p>
    <w:p>
      <w:pPr>
        <w:pStyle w:val="ListParagraph"/>
        <w:numPr>
          <w:ilvl w:val="0"/>
          <w:numId w:val="2"/>
        </w:numPr>
        <w:spacing w:after="140" w:line="276"/>
      </w:pPr>
      <w:r>
        <w:rPr>
          <w:rFonts w:ascii="Calibri" w:cs="Calibri" w:eastAsia="Calibri" w:hAnsi="Calibri"/>
          <w:b/>
          <w:bCs/>
          <w:sz w:val="22"/>
          <w:szCs w:val="22"/>
        </w:rPr>
        <w:t xml:space="preserve">No test exercises precedence together with incident-triggered re-optimization in one request.</w:t>
      </w:r>
      <w:r>
        <w:rPr>
          <w:rFonts w:ascii="Calibri" w:cs="Calibri" w:eastAsia="Calibri" w:hAnsi="Calibri"/>
          <w:sz w:val="22"/>
          <w:szCs w:val="22"/>
        </w:rPr>
        <w:t xml:space="preserve"> Checked tests/test_app.py directly — each is tested independently, never combined. Add a combined test (and fix anything it surfaces) before describing them as a demonstrated “composed system” in any filing — an invention disclosure is materially stronger when the working example actually shows the combination running, not just the individual pieces working in isolation.</w:t>
      </w:r>
    </w:p>
    <w:p>
      <w:pPr>
        <w:pStyle w:val="ListParagraph"/>
        <w:numPr>
          <w:ilvl w:val="0"/>
          <w:numId w:val="2"/>
        </w:numPr>
        <w:spacing w:after="140" w:line="276"/>
      </w:pPr>
      <w:r>
        <w:rPr>
          <w:rFonts w:ascii="Calibri" w:cs="Calibri" w:eastAsia="Calibri" w:hAnsi="Calibri"/>
          <w:b/>
          <w:bCs/>
          <w:sz w:val="22"/>
          <w:szCs w:val="22"/>
        </w:rPr>
        <w:t xml:space="preserve">If you want Tier 3 as a fallback claim,</w:t>
      </w:r>
      <w:r>
        <w:rPr>
          <w:rFonts w:ascii="Calibri" w:cs="Calibri" w:eastAsia="Calibri" w:hAnsi="Calibri"/>
          <w:sz w:val="22"/>
          <w:szCs w:val="22"/>
        </w:rPr>
        <w:t xml:space="preserve"> the fleet-size auto-raising algorithm needs the same prior-art treatment items 1–2 above got for Tier 2 — it hasn't been checked against classical VRP/bin-packing literature yet.</w:t>
      </w:r>
    </w:p>
    <w:p>
      <w:pPr>
        <w:pStyle w:val="Heading1"/>
        <w:spacing w:after="160" w:before="360"/>
      </w:pPr>
      <w:r>
        <w:t xml:space="preserve">5. Filing mechanics (re-verified today, not carried over from the earlier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E1B4B"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Item</w:t>
            </w:r>
          </w:p>
        </w:tc>
        <w:tc>
          <w:tcPr>
            <w:tcW w:type="dxa" w:w="5960"/>
            <w:shd w:fill="1E1B4B"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Current status (Sept 2026)</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Government fee</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₹1,600 for individuals, students, startups, MSMEs, and educational institutions (up to 30 pages / 10 claims), vs ₹8,000 for other entities. Confirmed unchanged from the earlier report.</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Required forms</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Form 1 (application) + Form 2 (provisional specification: description + best working mode, no formal claims needed) + Form 28 (fee-category declaration — easy to miss, defaults you to the large-entity fee if skipped).</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CRI Guidelines 2025</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Confirmed finalized and in effect (“apply with immediate effect”), not still draft. “Technical effect” test: a concrete, measurable improvement to an underlying technical system or process. Your Experiment 2 numbers are exactly this flavor of evidence — the issue is which mechanism they're now allowed to support (Section 3), not whether numbers matter.</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Disclosure timing</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File before any public pitch/demo you haven't already given. Section 31's exhibition grace period is real but narrow and not clearly settled for a hackathon demo — unchanged caution from the earlier report.</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12-month clock</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A provisional filing gives a priority date and starts a hard, non-extendable 12-month window to file the complete specification with formal claims.</w:t>
            </w:r>
          </w:p>
        </w:tc>
      </w:tr>
    </w:tbl>
    <w:p>
      <w:pPr>
        <w:spacing w:after="200"/>
      </w:pPr>
    </w:p>
    <w:p>
      <w:pPr>
        <w:pStyle w:val="Heading1"/>
        <w:spacing w:after="160" w:before="360"/>
      </w:pPr>
      <w:r>
        <w:t xml:space="preserve">6. Bottom-line recommendation</w:t>
      </w:r>
    </w:p>
    <w:p>
      <w:pPr>
        <w:spacing w:after="160" w:line="288"/>
      </w:pPr>
      <w:r>
        <w:rPr>
          <w:rFonts w:ascii="Calibri" w:cs="Calibri" w:eastAsia="Calibri" w:hAnsi="Calibri"/>
          <w:sz w:val="22"/>
          <w:szCs w:val="22"/>
        </w:rPr>
        <w:t xml:space="preserve">File the provisional — ₹1,600 is low-stakes and the priority date plus “Patent Pending” still has real value with judges — but only after items A and C above (reframing the claim, and getting the git history started), and ideally after at least starting item D-1 (precedence in fleet mode) so the working prototype actually matches whatever claim goes in Form 2. Do not file Form 2 language built around the old “penalty-term = correct by construction” headline; that specific door closed five weeks before this check. The door that's still open is narrower, needs your IPR cell to confirm it's real, and needs the code to actually demonstrate it — but it's still open.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_lputxzpxyoxnmu3zkba" Type="http://schemas.openxmlformats.org/officeDocument/2006/relationships/hyperlink" Target="https://www.mdpi.com/2076-3417/16/4/1690" TargetMode="External"/><Relationship Id="rId4cv1edph05aou4gorjkda" Type="http://schemas.openxmlformats.org/officeDocument/2006/relationships/hyperlink" Target="https://patents.google.com/patent/US11816606B2/en" TargetMode="External"/><Relationship Id="rIdaa1zrxdrwchmevy9v4h7s" Type="http://schemas.openxmlformats.org/officeDocument/2006/relationships/hyperlink" Target="https://support.dwavesys.com/hc/en-us/articles/4410049190807-New-Hybrid-Solver-Constrained-Quadratic-Model" TargetMode="External"/><Relationship Id="rIdus9ukx36asiqsnu9hsx_l" Type="http://schemas.openxmlformats.org/officeDocument/2006/relationships/hyperlink" Target="https://patents.justia.com/patent/20240104491" TargetMode="External"/><Relationship Id="rIdrxlusyr8crwiu5o6cbaaz" Type="http://schemas.openxmlformats.org/officeDocument/2006/relationships/hyperlink" Target="https://www.intepat.com/blog/cri-guidelines-2025-patent-india-3k" TargetMode="External"/><Relationship Id="rIdahggr2rtfxn7cfvvgmrq-" Type="http://schemas.openxmlformats.org/officeDocument/2006/relationships/hyperlink" Target="https://www.intepat.com/blog/patent-fees-cost-india"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2026-09-05T08:20:41.020Z</dcterms:created>
  <dcterms:modified xsi:type="dcterms:W3CDTF">2026-09-05T08:20:41.036Z</dcterms:modified>
</cp:coreProperties>
</file>

<file path=docProps/custom.xml><?xml version="1.0" encoding="utf-8"?>
<Properties xmlns="http://schemas.openxmlformats.org/officeDocument/2006/custom-properties" xmlns:vt="http://schemas.openxmlformats.org/officeDocument/2006/docPropsVTypes"/>
</file>